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A3F" w:rsidRDefault="008E3A3F" w:rsidP="008E3A3F">
      <w:pPr>
        <w:spacing w:line="360" w:lineRule="auto"/>
        <w:ind w:firstLineChars="200" w:firstLine="480"/>
        <w:jc w:val="left"/>
        <w:rPr>
          <w:rFonts w:asciiTheme="minorEastAsia" w:hAnsiTheme="minorEastAsia" w:hint="eastAsia"/>
          <w:sz w:val="24"/>
          <w:szCs w:val="24"/>
        </w:rPr>
      </w:pPr>
    </w:p>
    <w:p w:rsidR="00650352" w:rsidRPr="008E3A3F" w:rsidRDefault="008E3A3F" w:rsidP="008E3A3F">
      <w:pPr>
        <w:spacing w:line="360" w:lineRule="auto"/>
        <w:ind w:firstLineChars="200" w:firstLine="723"/>
        <w:jc w:val="center"/>
        <w:rPr>
          <w:rFonts w:ascii="黑体" w:eastAsia="黑体" w:hAnsiTheme="minorEastAsia" w:hint="eastAsia"/>
          <w:b/>
          <w:sz w:val="36"/>
          <w:szCs w:val="36"/>
        </w:rPr>
      </w:pPr>
      <w:r w:rsidRPr="008E3A3F">
        <w:rPr>
          <w:rFonts w:ascii="黑体" w:eastAsia="黑体" w:hAnsiTheme="minorEastAsia" w:hint="eastAsia"/>
          <w:b/>
          <w:sz w:val="36"/>
          <w:szCs w:val="36"/>
        </w:rPr>
        <w:t>关于加强房屋建筑和市政基础设施工程项目施工招标投标行政监督工作的若干意见</w:t>
      </w:r>
    </w:p>
    <w:p w:rsidR="008E3A3F" w:rsidRPr="008E3A3F" w:rsidRDefault="008E3A3F" w:rsidP="008E3A3F">
      <w:pPr>
        <w:spacing w:line="360" w:lineRule="auto"/>
        <w:ind w:firstLineChars="200" w:firstLine="480"/>
        <w:jc w:val="left"/>
        <w:rPr>
          <w:rFonts w:asciiTheme="minorEastAsia" w:hAnsiTheme="minorEastAsia" w:hint="eastAsia"/>
          <w:sz w:val="24"/>
          <w:szCs w:val="24"/>
        </w:rPr>
      </w:pP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各省、自治区建设厅，直辖市建委，江苏省、山东省建管局，新疆生产建设兵团建设局，解放军总后营房部工程管理局，计划单列市建委：</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近年来，各地建设行政主管部门以建立统一、开放、竞争、有序的建筑市场为目标，不断深化招标投标体制改革，完善招标投标法律法规，依法履行行政监督职能，健全建设工程交易中心的服务功能，使招标投标工作和建设工程交易中心建设取得了新的进展。为进一步规范房屋建筑和市政基础设施工程项目（以下简称工程项目）的施工招标投标活动，维护市场秩序，保证工程质量，根据《国务院办公厅关于进一步规范招投标活动的若干意见》（国办发[2004]56号）精神，现就加强招标投标行政监督的有关工作提出如下意见。</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一、明确招标人自行办理招标事宜的条件和监督程序</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依法必须进行招标的工程项目，招标人自行办理施工招标事宜的，应当在发布招标公告或者发出投标邀请书的5日前，向建设行政主管部门备案，以证明其具备以下编制招标文件和组织评标的能力：具有项目法人资格或者法人资格；有从事同类工程招标的经验；有与招标项目规模和复杂程度相适应的工程技术、概预算、财务和工程管理等方面的专业技术力量，即招标人应当具有3名以上本单位的中级以上职称的工程技术</w:t>
      </w:r>
      <w:proofErr w:type="gramStart"/>
      <w:r w:rsidRPr="008E3A3F">
        <w:rPr>
          <w:rFonts w:asciiTheme="minorEastAsia" w:hAnsiTheme="minorEastAsia" w:hint="eastAsia"/>
          <w:sz w:val="24"/>
          <w:szCs w:val="24"/>
        </w:rPr>
        <w:t>经济人</w:t>
      </w:r>
      <w:proofErr w:type="gramEnd"/>
      <w:r w:rsidRPr="008E3A3F">
        <w:rPr>
          <w:rFonts w:asciiTheme="minorEastAsia" w:hAnsiTheme="minorEastAsia" w:hint="eastAsia"/>
          <w:sz w:val="24"/>
          <w:szCs w:val="24"/>
        </w:rPr>
        <w:t>员，并熟悉和掌握招标投标有关法规，并且至少包括1名在本单位注册的造价工程师。</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建设行政主管部门在收到招标人自行办理招标事宜的备案材料后，应当对照标准及时进行核查，发现招标人不具备自行办理招标事宜的条件或者在备案材料中弄虚作假的，应当依法责令其改正，并且要求其委托具有相应资格的工程建设项目招标代理机构（以下简称招标代理机构）代理招标。</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二、完善资格审查制度</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资格审查分为资格预审和资格后审，一般使用合格制的资格审查方式。</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在工程项目的施工招标中，除技术特别复杂或者具有特殊专业技术要求的以外，提倡实行资格后审。实行资格预审的，提倡招标人邀请所有资格预审合格的</w:t>
      </w:r>
      <w:r w:rsidRPr="008E3A3F">
        <w:rPr>
          <w:rFonts w:asciiTheme="minorEastAsia" w:hAnsiTheme="minorEastAsia" w:hint="eastAsia"/>
          <w:sz w:val="24"/>
          <w:szCs w:val="24"/>
        </w:rPr>
        <w:lastRenderedPageBreak/>
        <w:t>潜在投标人（以下简称合格申请人）参加投标。</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依法必须公开招标的工程项目的施工招标实行资格预审，并且采用经评审的最低投标价法评标的，招标人必须邀请所有合格申请人参加投标，不得对投标人的数量进行限制。</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依法必须公开招标的工程项目的施工招标实行资格预审，并且采用综合评估法评标的，当合格申请人数量过多时，一般采用随机抽签的方法，特殊情况也可以采用评分排名的方法选择规定数量的合格申请人参加投标。其中，工程投资额1000万元以上的工程项目，邀请的合格申请人应当不少于9个；工程投资额1000万元以下的工程项目，邀请的合格申请人应当不少于7个。</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实行资格后审的，招标文件应当设置专门的章节，明确合格投标人的条件、资格后审的评审标准和评审方法。</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实行资格预审的，资格预审文件应当明确合格申请人的条件、资格预审的评审标准和评审方法、合格申请人过多时将采用的选择方法和</w:t>
      </w:r>
      <w:proofErr w:type="gramStart"/>
      <w:r w:rsidRPr="008E3A3F">
        <w:rPr>
          <w:rFonts w:asciiTheme="minorEastAsia" w:hAnsiTheme="minorEastAsia" w:hint="eastAsia"/>
          <w:sz w:val="24"/>
          <w:szCs w:val="24"/>
        </w:rPr>
        <w:t>拟邀请</w:t>
      </w:r>
      <w:proofErr w:type="gramEnd"/>
      <w:r w:rsidRPr="008E3A3F">
        <w:rPr>
          <w:rFonts w:asciiTheme="minorEastAsia" w:hAnsiTheme="minorEastAsia" w:hint="eastAsia"/>
          <w:sz w:val="24"/>
          <w:szCs w:val="24"/>
        </w:rPr>
        <w:t>参加投标的合格申请人数量等内容。资格预审文件一经发出，不得擅自更改。确需更改的，应当将更改的内容通知所有已经获取资格预审文件的潜在投标人。</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对潜在投标人或者投标人的资格审查必须充分体现公开、公平、公正的原则，不得提出高于招标工程实际情况所需要的资质等级要求。资格审查中还应当注重对拟选派的项目经理（建造师）的劳动合同关系、参加社会保险、正在施工和正在承接的工程项目等方面情况的审查。要严格执行项目经理管理规定的要求，一个项目经理（建造师）只宜担任一个施工项目的管理工作，当其负责管理的施工项目临近竣工，并已经向发包人提出竣工验收申请后，方可参加其他工程项目的投标。</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三、深化对评标专家和评标活动的管理</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要不断深化对已经建立的评标专家名册的管理，建立对评标专家的培训教育、定期考核和准入、清出制度。要强化对评标专家的职业道德教育和纪律约束，有组织、有计划地组织培训学习和交流研讨，提高评标专家的综合素质。对不能胜任评标工作或者有不良行为记录的评标专家，应当暂停或者取消其评标专家资格。</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工程项目的评标专家应当从建设部或者省、自治区、直辖市建设行政主管部</w:t>
      </w:r>
      <w:r w:rsidRPr="008E3A3F">
        <w:rPr>
          <w:rFonts w:asciiTheme="minorEastAsia" w:hAnsiTheme="minorEastAsia" w:hint="eastAsia"/>
          <w:sz w:val="24"/>
          <w:szCs w:val="24"/>
        </w:rPr>
        <w:lastRenderedPageBreak/>
        <w:t>门组建的专家名册内抽取，抽取工作应当在建设工程交易中心内进行，并采取必要的保密措施，参与抽取的所有人员应当在抽取清单上签字。评标委员会中招标人的代表应当具备评标专家的相应条件。</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评标工作应当在建设工程交易中心进行，有条件的地方应当建立评标监控系统。评标时间在1天以上的，应当采取必要的隔离措施，隔断评委与外界，尤其是与投标人的联系。提倡采用电子招标、电子投标和计算机辅助评标等现代化的手段，提高招标投标的效率和评标结果的准确性、公正性。</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四、积极推行工程量清单计价方式招标</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要进一步在国有资金投资的工程项目中推行《建设工程工程量清单计价规范》（以下简称《计价规范》）。工程量清单作为招标文件的重要组成部分，应当本着严格、准确的原则，依据《计价规范》的规定进行编制。</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提倡在工程项目的施工招标中设立对投标报价的最高限价，以预防和遏制串通投标和哄抬标价的行为。招标人设定最高限价的，应当在投标截止日3天前公布。</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五、探索实行科学、公正、合理的评标方法</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各地要深化对经评审的最低投标价法、综合评估法等评标方法的研究，制定更加明确的标准，尤其要突出《计价规范》所要求的技术与经济密切结合的特点。</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对于具有通用技术和性能标准的一般工程，当采用经评审的不低于成本的最低投标价法时，提倡对技术部分采用合格制评审的方法。对可能低于成本的投标，评标委员会不仅要审查投标报价是否存在漏项或者缺项，是否符合招标文件规定的要求，还应当从技术和经济相结合的角度，对工程内容是否完整，施工方法是否正确，施工组织和技术措施是否合理、可行，单价和费用的组成、</w:t>
      </w:r>
      <w:proofErr w:type="gramStart"/>
      <w:r w:rsidRPr="008E3A3F">
        <w:rPr>
          <w:rFonts w:asciiTheme="minorEastAsia" w:hAnsiTheme="minorEastAsia" w:hint="eastAsia"/>
          <w:sz w:val="24"/>
          <w:szCs w:val="24"/>
        </w:rPr>
        <w:t>工料机</w:t>
      </w:r>
      <w:proofErr w:type="gramEnd"/>
      <w:r w:rsidRPr="008E3A3F">
        <w:rPr>
          <w:rFonts w:asciiTheme="minorEastAsia" w:hAnsiTheme="minorEastAsia" w:hint="eastAsia"/>
          <w:sz w:val="24"/>
          <w:szCs w:val="24"/>
        </w:rPr>
        <w:t>消耗及费用、利润的确定是否合理，主要材料的规格、型号、价格是否合理，有无具有说服力的证明材料等方面进行重点评审。在充分发挥招标投标机制实现社会资源合理分配的同时，要防止恶意的、</w:t>
      </w:r>
      <w:proofErr w:type="gramStart"/>
      <w:r w:rsidRPr="008E3A3F">
        <w:rPr>
          <w:rFonts w:asciiTheme="minorEastAsia" w:hAnsiTheme="minorEastAsia" w:hint="eastAsia"/>
          <w:sz w:val="24"/>
          <w:szCs w:val="24"/>
        </w:rPr>
        <w:t>不</w:t>
      </w:r>
      <w:proofErr w:type="gramEnd"/>
      <w:r w:rsidRPr="008E3A3F">
        <w:rPr>
          <w:rFonts w:asciiTheme="minorEastAsia" w:hAnsiTheme="minorEastAsia" w:hint="eastAsia"/>
          <w:sz w:val="24"/>
          <w:szCs w:val="24"/>
        </w:rPr>
        <w:t>理性的“低价抢标”行为，维护正当的竞争秩序。</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在推行经评审的最低投标价法的同时，除了要完善与评标程序、评标标准有关的规定外，还应当积极推行工程担保制度的实施，按市场规律建立风险防范机制。国有资金投资的工程项目实行担保的，应当由金融机构或者具有风险防范能</w:t>
      </w:r>
      <w:r w:rsidRPr="008E3A3F">
        <w:rPr>
          <w:rFonts w:asciiTheme="minorEastAsia" w:hAnsiTheme="minorEastAsia" w:hint="eastAsia"/>
          <w:sz w:val="24"/>
          <w:szCs w:val="24"/>
        </w:rPr>
        <w:lastRenderedPageBreak/>
        <w:t>力的专业担保机构实施担保。对于以价格低为理由，在合同履行中偷工减料、减少必要的安全施工措施和设施、拖延工期、拖欠农民工工资、降低工程质量标准等行为，要予以公开曝光，依法处理，并记入信用档案。</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对于技术复杂的工程项目，可以采用综合评估的方法，但不能任意提高技术部分的评分比重，一般技术部分的分值权重不得高于40％，商务部分的分值权重不得少于60％。</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所有的评标标准和方法必须在招标文件中详细载明，招标文件未载明评标的具体标准和方法的，或者评标委员会使用与招标文件规定不一致的评标标准和方法的，评标结果无效，应当依法重新评标或者重新招标。招标文件应当将投标文件存在重大偏差和应当废除投标的情形集中在一起进行表述，并要求表达清晰、含义明确。严禁针对某一投标人的特点，采取“量体裁衣”等手法确定评标的标准和方法，对这类行为应当视为对投标人实行歧视待遇，要按照法律、法规、规章的相关规定予以处理。</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六、建立中标候选人的公示制度，加强对确定中标人的管理</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应当建立中标候选人的公示制度。采用公开招标的，在中标通知书发出前，要将预中标人的情况在该工程项目招标公告发布的同一信息网络和建设工程交易中心予以公示，公示的时间最短应当不少于2个工作日。</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确定中标人必须以评标委员会出具的评标报告为依据，严格按照法定的程序，在规定的时间内完成，并向中标人发出中标通知书。对于拖延确定中标人、随意更换中标人、向中标人提出额外要求甚至无正当理由拒不与中标人签署合同的招标人，要依法予以处理。</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七、建立和完善各管理机构之间的联动机制，监督合同的全面履行</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建设行政主管部门应当进一步建立和完善建筑市场与招标投标、资质和资格、工程造价、质量和安全监督等管理机构之间的相互联动机制，相互配合，加强对合同履行的监督管理，及时发现和严厉查处中标后随意更换项目经理（建造师）、转包、违法分包、任意进行合同变更、不合理地增加合同价款、拖延支付工程款、拖延竣工结算等违法、违规和违约行为，促进合同的全面履行，营造诚信经营、忠实履约的市场环境。同时，要建立工程信息和信用档案管理系统，及时、全面地掌握工程项目的进展情况和合同履约情况，对于发现的不良行为和</w:t>
      </w:r>
      <w:r w:rsidRPr="008E3A3F">
        <w:rPr>
          <w:rFonts w:asciiTheme="minorEastAsia" w:hAnsiTheme="minorEastAsia" w:hint="eastAsia"/>
          <w:sz w:val="24"/>
          <w:szCs w:val="24"/>
        </w:rPr>
        <w:lastRenderedPageBreak/>
        <w:t>违法行为，要及时予以查处，并计入相应责任单位和责任人的信用档案，向社会公布。</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 xml:space="preserve">八、加强对招标代理机构的管理，维护招标代理市场秩序 </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招标代理机构必须遵循《民法通则》和《合同法》的规定，订立工程招标代理合同，严格履行民事代理责任。招标代理服务费原则上向招标人收取。</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建设行政主管部门要在严格招标代理机构资格市场准入的基础上，加强对招标代理机构承接业务后的行为管理，重点是代理合同的签订、代理项目专职人员的落实、在代理过程中签字、盖章手续的履行等。应当尽快建立和实施对招标代理机构及其专职人员的清出制度，严厉打击挂靠，出让代理资格，通过采用虚假招标、串通投标等违法方式操纵招标结果，违反规定将代理服务费转嫁给投标人或者中标人，以及以赢利为目的高价出售资格预审文件和招标文件等行为。对上述行为，经查证核实的，除依法对招标代理机构进行处理外，还应当将负有直接和相关责任的专职人员清出招标代理机构。</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各地工程招标投标行政监督机构和建设工程招标投标行业社团组织应当建立对招标代理机构专职人员的继续教育制度，通过不断的培训教育，提高其业务水平、综合素质和工程招标代理的服务质量。</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建设行政主管部门要积极推动工程招标投标行业社团组织的建设，充分发挥行业社团组织的特点和优势，建立和完善工程招标投标行业自律机制，包括行业技术规范、行业行为准则以及行业创建活动等，规范和约束工程招标代理机构的行为，维护工程招标投标活动的秩序。</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九、继续推进建设工程交易中心的建设与管理，充分发挥建设工程交易中心的作用</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建设工程交易中心是经省级以上建设行政主管部门批准设立，为工程项目的交易活动提供服务的特殊场所，应当为非盈利性质的事业单位。各地建设行政主管部门要全面贯彻落实《国务院办公厅转发建设部、国家计委、监察部关于健全和规范有形建筑市场若干意见的通知》（国办发[2002]21号）要求，加强对建设工程交易中心的管理，继续做好与纪检监察及其他有关部门的协调工作，强化对建设工程交易中心的监督、指导和考核，及时研究、解决实际工作中遇到的困难和问题，完善服务设施，规范服务行为，提高服务质量。</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lastRenderedPageBreak/>
        <w:t>建设工程交易中心要在充分发挥现有服务功能的基础上，积极拓展服务范围、服务内容和服务领域，为工程项目的交易活动提供全面、规范和高效的服务。当前要重点做好以下两个方面的工作：一是为全国建筑市场与工程项目招标投标的信用体系建设提供信息网络平台，为建筑市场参与各方提供真实、准确、便捷的信用状况服务，为营造诚实守信、失信必惩的建筑市场环境，提高整个行业的信用水平，推进建设领域诚信建设创造条件。各地可以以项目经理（建造师）的联网管理作为试点，取得经验后逐步向其他方面拓展。二是建立档案管理制度，加强对工程项目交易档案的管理，及时收集和整理建设工程交易活动中产生的各类文字、音像、图片资料和原始记录，并妥善保存档案资料。</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十、切实加强工程项目施工招标投标活动的监督管理</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各地建设行政主管部门要切实加强对工程项目施工招标投标活动的监督管理工作，依法履行好行政监督职能。</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对于招标投标活动中的各个重要环节，应当通过完善方式、明确重点来实施有效的监督。在监督的对象上，要以国有资金投资的工程项目为重点，对非国有资金投资的工程项目的施工招标投标活动，可以转变方式，突出重点；在监督的主体上，要以招标人、招标代理机构和评标委员会为重点；在监督的方法上，除了全过程监督外，要进一步创新方法，将有针对性的过程监督和随机监督有机地结合起来，提高行政监督的效率和权威。同时，要注意发挥建设工程交易中心的作用，相互配合，形成合力，共同推进招标投标工作水平的提高。</w:t>
      </w:r>
    </w:p>
    <w:p w:rsid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要按照国家七部委颁发的《工程建设项目招标投标活动投诉处理办法》的要求，进一步加强招标投标活动中的投诉处理工作，建立和完善公正、高效的投诉处理机制，及时受理和妥善处理投诉，查处投诉处理中发现的违法行为。</w:t>
      </w:r>
    </w:p>
    <w:p w:rsidR="008E3A3F" w:rsidRPr="008E3A3F" w:rsidRDefault="008E3A3F" w:rsidP="008E3A3F">
      <w:pPr>
        <w:spacing w:line="360" w:lineRule="auto"/>
        <w:ind w:firstLineChars="200" w:firstLine="480"/>
        <w:jc w:val="left"/>
        <w:rPr>
          <w:rFonts w:asciiTheme="minorEastAsia" w:hAnsiTheme="minorEastAsia" w:hint="eastAsia"/>
          <w:sz w:val="24"/>
          <w:szCs w:val="24"/>
        </w:rPr>
      </w:pPr>
      <w:r w:rsidRPr="008E3A3F">
        <w:rPr>
          <w:rFonts w:asciiTheme="minorEastAsia" w:hAnsiTheme="minorEastAsia" w:hint="eastAsia"/>
          <w:sz w:val="24"/>
          <w:szCs w:val="24"/>
        </w:rPr>
        <w:t>招标投标监督管理机构是</w:t>
      </w:r>
      <w:proofErr w:type="gramStart"/>
      <w:r w:rsidRPr="008E3A3F">
        <w:rPr>
          <w:rFonts w:asciiTheme="minorEastAsia" w:hAnsiTheme="minorEastAsia" w:hint="eastAsia"/>
          <w:sz w:val="24"/>
          <w:szCs w:val="24"/>
        </w:rPr>
        <w:t>受建设</w:t>
      </w:r>
      <w:proofErr w:type="gramEnd"/>
      <w:r w:rsidRPr="008E3A3F">
        <w:rPr>
          <w:rFonts w:asciiTheme="minorEastAsia" w:hAnsiTheme="minorEastAsia" w:hint="eastAsia"/>
          <w:sz w:val="24"/>
          <w:szCs w:val="24"/>
        </w:rPr>
        <w:t>行政主管部门委托，依法对工程项目的招标投标活动实施监督的职能机构，各地要积极、认真地解决好工程招标投标监督管理机构的编制、人员和经费等问题，为工程项目招标投标的监督提供保障，同时要加强工程招标投标监督管理机构的廉政建设和所属工作人员的教育和培训，提高依法监督和依法行政的水平。</w:t>
      </w:r>
    </w:p>
    <w:p w:rsidR="008E3A3F" w:rsidRPr="008E3A3F" w:rsidRDefault="008E3A3F" w:rsidP="008E3A3F">
      <w:pPr>
        <w:spacing w:line="360" w:lineRule="auto"/>
        <w:ind w:firstLineChars="200" w:firstLine="480"/>
        <w:jc w:val="right"/>
        <w:rPr>
          <w:rFonts w:asciiTheme="minorEastAsia" w:hAnsiTheme="minorEastAsia" w:hint="eastAsia"/>
          <w:sz w:val="24"/>
          <w:szCs w:val="24"/>
        </w:rPr>
      </w:pPr>
      <w:r w:rsidRPr="008E3A3F">
        <w:rPr>
          <w:rFonts w:asciiTheme="minorEastAsia" w:hAnsiTheme="minorEastAsia" w:hint="eastAsia"/>
          <w:sz w:val="24"/>
          <w:szCs w:val="24"/>
        </w:rPr>
        <w:t>中华人民共和国建设部</w:t>
      </w:r>
    </w:p>
    <w:p w:rsidR="008E3A3F" w:rsidRPr="008E3A3F" w:rsidRDefault="008E3A3F" w:rsidP="008E3A3F">
      <w:pPr>
        <w:spacing w:line="360" w:lineRule="auto"/>
        <w:ind w:firstLineChars="200" w:firstLine="480"/>
        <w:jc w:val="right"/>
        <w:rPr>
          <w:rFonts w:asciiTheme="minorEastAsia" w:hAnsiTheme="minorEastAsia"/>
          <w:sz w:val="24"/>
          <w:szCs w:val="24"/>
        </w:rPr>
      </w:pPr>
      <w:r w:rsidRPr="008E3A3F">
        <w:rPr>
          <w:rFonts w:asciiTheme="minorEastAsia" w:hAnsiTheme="minorEastAsia" w:hint="eastAsia"/>
          <w:sz w:val="24"/>
          <w:szCs w:val="24"/>
        </w:rPr>
        <w:t>二零零五年十月十日</w:t>
      </w:r>
    </w:p>
    <w:sectPr w:rsidR="008E3A3F" w:rsidRPr="008E3A3F" w:rsidSect="006503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E3A3F"/>
    <w:rsid w:val="00650352"/>
    <w:rsid w:val="008E3A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3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j1">
    <w:name w:val="pbj1"/>
    <w:basedOn w:val="a"/>
    <w:rsid w:val="008E3A3F"/>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85962033">
      <w:bodyDiv w:val="1"/>
      <w:marLeft w:val="0"/>
      <w:marRight w:val="0"/>
      <w:marTop w:val="0"/>
      <w:marBottom w:val="0"/>
      <w:divBdr>
        <w:top w:val="none" w:sz="0" w:space="0" w:color="auto"/>
        <w:left w:val="none" w:sz="0" w:space="0" w:color="auto"/>
        <w:bottom w:val="none" w:sz="0" w:space="0" w:color="auto"/>
        <w:right w:val="none" w:sz="0" w:space="0" w:color="auto"/>
      </w:divBdr>
      <w:divsChild>
        <w:div w:id="1531264060">
          <w:marLeft w:val="0"/>
          <w:marRight w:val="0"/>
          <w:marTop w:val="0"/>
          <w:marBottom w:val="0"/>
          <w:divBdr>
            <w:top w:val="none" w:sz="0" w:space="0" w:color="auto"/>
            <w:left w:val="none" w:sz="0" w:space="0" w:color="auto"/>
            <w:bottom w:val="none" w:sz="0" w:space="0" w:color="auto"/>
            <w:right w:val="none" w:sz="0" w:space="0" w:color="auto"/>
          </w:divBdr>
          <w:divsChild>
            <w:div w:id="1512405280">
              <w:marLeft w:val="0"/>
              <w:marRight w:val="0"/>
              <w:marTop w:val="0"/>
              <w:marBottom w:val="0"/>
              <w:divBdr>
                <w:top w:val="none" w:sz="0" w:space="0" w:color="auto"/>
                <w:left w:val="none" w:sz="0" w:space="0" w:color="auto"/>
                <w:bottom w:val="none" w:sz="0" w:space="0" w:color="auto"/>
                <w:right w:val="none" w:sz="0" w:space="0" w:color="auto"/>
              </w:divBdr>
              <w:divsChild>
                <w:div w:id="1966739531">
                  <w:marLeft w:val="0"/>
                  <w:marRight w:val="0"/>
                  <w:marTop w:val="0"/>
                  <w:marBottom w:val="0"/>
                  <w:divBdr>
                    <w:top w:val="none" w:sz="0" w:space="0" w:color="auto"/>
                    <w:left w:val="none" w:sz="0" w:space="0" w:color="auto"/>
                    <w:bottom w:val="none" w:sz="0" w:space="0" w:color="auto"/>
                    <w:right w:val="none" w:sz="0" w:space="0" w:color="auto"/>
                  </w:divBdr>
                </w:div>
                <w:div w:id="2352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783</Words>
  <Characters>4468</Characters>
  <Application>Microsoft Office Word</Application>
  <DocSecurity>0</DocSecurity>
  <Lines>37</Lines>
  <Paragraphs>10</Paragraphs>
  <ScaleCrop>false</ScaleCrop>
  <Company>微软中国</Company>
  <LinksUpToDate>false</LinksUpToDate>
  <CharactersWithSpaces>5241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2012-12-13T02:23:00Z</dcterms:created>
  <dcterms:modified xsi:type="dcterms:W3CDTF">2012-12-13T02:32:00Z</dcterms:modified>
</cp:coreProperties>
</file>