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E1C" w:rsidRPr="006A2E1C" w:rsidRDefault="006A2E1C" w:rsidP="006A2E1C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6A2E1C">
        <w:rPr>
          <w:rFonts w:ascii="黑体" w:eastAsia="黑体" w:hAnsiTheme="minorEastAsia" w:hint="eastAsia"/>
          <w:sz w:val="36"/>
          <w:szCs w:val="36"/>
        </w:rPr>
        <w:t>冶炼工程施工总承包企业资质等级标准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冶炼工程施工总承包企业资质分为特级、一级、二级。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特级资质标准：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1、企业注册资本金3亿元以上。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2、企业净资产3.6亿元以上。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3、企业近3年年平均工程结算收入15亿元以上。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4、企业其他条件均达到一级资质标准。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一级资质标准：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1、企业近l0年承担过下列12项中的3项以上工程施工总承包或主体工程承包，工程质量合格。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（1）年产30万吨以上炼钢或连铸工程；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（2）年产25万吨以上轧钢工程；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（3）年产50万吨以上炼铁或90平方米以上烧结工程；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（4）年产40万吨以上炼焦工程；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（5）小时制氧6000立方米以上制氧工程；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（6）年产30万吨以上氧化铝加工工程；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（7）年产l0万吨以上铜、铝、铅、锌、镍等有色金属冶炼、电解工程；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（8）年产3万吨以上有色金属加工工程；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（9）日产2000吨以上窑外分解水泥工程；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（10）日产2000吨以上预热器系统或水泥烧成系统工程；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（12）日熔量400吨以上浮法玻璃工程。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2、企业经理具有10年以上从事工程管理工作经历或具有高级职称；总工程师具有10年以上从事施工技术管理工作经历并具有本专业高级职称；总会计师具有高级会计职称；总经济师具有高级职称。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企业有职称的工程技术和经济管理人员不少于300人，其中工程技术人员不少于200人；工程技术人员中，具有高级职称的人员不少于15人，具有中级职称的人员不少于60人。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企业具有的一级资质项目经理不少于20人。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3、企业注册资本金5000万元以上，企业净资产6000万元以上。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lastRenderedPageBreak/>
        <w:t>4、企业近3年最高</w:t>
      </w:r>
      <w:proofErr w:type="gramStart"/>
      <w:r w:rsidRPr="006A2E1C">
        <w:rPr>
          <w:rFonts w:asciiTheme="minorEastAsia" w:hAnsiTheme="minorEastAsia"/>
          <w:sz w:val="24"/>
          <w:szCs w:val="24"/>
        </w:rPr>
        <w:t>年工程</w:t>
      </w:r>
      <w:proofErr w:type="gramEnd"/>
      <w:r w:rsidRPr="006A2E1C">
        <w:rPr>
          <w:rFonts w:asciiTheme="minorEastAsia" w:hAnsiTheme="minorEastAsia"/>
          <w:sz w:val="24"/>
          <w:szCs w:val="24"/>
        </w:rPr>
        <w:t>结算收入2亿元以上。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二级资质标准：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1、企业近10年承担过下列8项中的3项以上工程施工总承包或主体工程承包，工程质量合格。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（1）年产10万吨以上炼钢或连铸工程；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（2）年产10万吨以上轧钢工程；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（3）年产25万吨以上炼铁或24平方米以上烧结工程；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（4）年产20万吨以上炼焦工程；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（5）小时制氧3200立方米以上制氧工程；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（6）年产10万吨以上氧化铝加工工程；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（7）年产5万吨以上铜、铝、铅、锌、镍等有色金属冶炼、电解工程；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（8）年产1万吨以上有色金属加工工程；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（9）日产1000吨以上窑外分解水泥工程；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（10）日产1000吨以上预热器系统或水泥烧成系统工程；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（11）日熔量300吨以上浮法玻璃工程。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2、企业经理具有8年以上从事工程管理工作经历或具有中级以上职称；技术负责人具有8年以上从事施工技术管理工作经历并具有本专业中级以上职称；财务负责人具有中级以上会计职称。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企业有职称的工程技术和经济管理人员不少于180人，其中工程技术人员不少于120人；工程技术人员中，具有高级职称的人员不少于5人，具有中级职称的人员不少于40人。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企业具有的二级资质以上项目经理不少于20人。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3、企业注册资本金2000万元以上，企业净资产2500万元以上。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6A2E1C">
        <w:rPr>
          <w:rFonts w:asciiTheme="minorEastAsia" w:hAnsiTheme="minorEastAsia"/>
          <w:sz w:val="24"/>
          <w:szCs w:val="24"/>
        </w:rPr>
        <w:t>年工程</w:t>
      </w:r>
      <w:proofErr w:type="gramEnd"/>
      <w:r w:rsidRPr="006A2E1C">
        <w:rPr>
          <w:rFonts w:asciiTheme="minorEastAsia" w:hAnsiTheme="minorEastAsia"/>
          <w:sz w:val="24"/>
          <w:szCs w:val="24"/>
        </w:rPr>
        <w:t>结算收入1亿元以上。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承包工程范围：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特级企业：可承担各类冶炼工程的施工。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一级企业：可承担单项合同额不超过企业注册资本金5倍的各类冶炼工程的</w:t>
      </w:r>
      <w:r w:rsidRPr="006A2E1C">
        <w:rPr>
          <w:rFonts w:asciiTheme="minorEastAsia" w:hAnsiTheme="minorEastAsia"/>
          <w:sz w:val="24"/>
          <w:szCs w:val="24"/>
        </w:rPr>
        <w:lastRenderedPageBreak/>
        <w:t>施工。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二级企业：可承担单项合同额不超过企业注册资本金5倍的下列冶炼工程的施工：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（1）年产25万吨及以下炼钢、连铸、轧钢工程；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（2）年产50万吨及以下炼铁，90平方米及以下烧结工程；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（3）年产40万吨及以下炼焦工程；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（4）小时制氧6000立方米及以下制氧工程；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（5）年产30万吨及以下氧化铝加工工程，10万吨及以下铜、铝、铅、锌、镍等有色金属冶炼、电解工程，3万吨及以下有色金属加工工程；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（6）日产2000吨及以下窑外分解水泥工程；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（7）日产200 0吨及以下预热器系统、水泥烧成系统工程；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（8）日熔量400吨及以下浮法玻璃工程。</w:t>
      </w:r>
    </w:p>
    <w:p w:rsidR="006A2E1C" w:rsidRPr="006A2E1C" w:rsidRDefault="006A2E1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A2E1C">
        <w:rPr>
          <w:rFonts w:asciiTheme="minorEastAsia" w:hAnsiTheme="minorEastAsia"/>
          <w:sz w:val="24"/>
          <w:szCs w:val="24"/>
        </w:rPr>
        <w:t>注：冶炼工程包括冶金、有色、建材工业的冶炼主体工程、配套工程及生产辅助附属工程。</w:t>
      </w:r>
    </w:p>
    <w:p w:rsidR="00FD306C" w:rsidRPr="006A2E1C" w:rsidRDefault="00FD306C" w:rsidP="006A2E1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6A2E1C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A2E1C"/>
    <w:rsid w:val="006A2E1C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6A2E1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554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247</Words>
  <Characters>1411</Characters>
  <Application>Microsoft Office Word</Application>
  <DocSecurity>0</DocSecurity>
  <Lines>11</Lines>
  <Paragraphs>3</Paragraphs>
  <ScaleCrop>false</ScaleCrop>
  <Company>微软中国</Company>
  <LinksUpToDate>false</LinksUpToDate>
  <CharactersWithSpaces>1655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2013-04-02T07:36:00Z</dcterms:created>
  <dcterms:modified xsi:type="dcterms:W3CDTF">2013-04-02T07:37:00Z</dcterms:modified>
</cp:coreProperties>
</file>