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4872" w:rsidRPr="00694872" w:rsidRDefault="00694872" w:rsidP="00694872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694872">
        <w:rPr>
          <w:rFonts w:ascii="黑体" w:eastAsia="黑体" w:hAnsiTheme="minorEastAsia" w:hint="eastAsia"/>
          <w:sz w:val="36"/>
          <w:szCs w:val="36"/>
        </w:rPr>
        <w:t>化工石油工程施工总承包企业资质等级标准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化工石油工程施工总承包企业资质分为特级、一级、二级。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特级资质标准：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1、企业注册资本金3亿元以上。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2、企业净资产3.6亿元以上。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3、企业近3年年平均工程结算收入15亿元以上。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4、企业其他条件均达到一级资质标准。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一级资质标准：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1、企业近5年承担过3项以上大型化工石油工程或单项工程合同额在1.5亿元以上的化工石油工程施工总承包或主体工程承包，工程质量合格。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2、企业经理具有10年以上从事工程管理工作经历或具有高级职称；总工程师具有10年以上从事施工技术管理工作经历并具有本专业高级职称；总会计师具有高级会计职称；总经济师具有高级职称。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企业有职称的工程技术和经济管理人员不少于250人，其中工程技术人员不少于150人；工程技术人员中、具有高级职称的人员不少于20人，具有中级职称的人员不少于60人。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企业具有的一级资质项目经理不少20人。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3、企业注册资本金6000万元以上，企业净资产7200万元以上。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694872">
        <w:rPr>
          <w:rFonts w:asciiTheme="minorEastAsia" w:hAnsiTheme="minorEastAsia"/>
          <w:sz w:val="24"/>
          <w:szCs w:val="24"/>
        </w:rPr>
        <w:t>年工程</w:t>
      </w:r>
      <w:proofErr w:type="gramEnd"/>
      <w:r w:rsidRPr="00694872">
        <w:rPr>
          <w:rFonts w:asciiTheme="minorEastAsia" w:hAnsiTheme="minorEastAsia"/>
          <w:sz w:val="24"/>
          <w:szCs w:val="24"/>
        </w:rPr>
        <w:t>结算收入2亿元以上。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二级资质标准：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1、企业近5年承担过3项以上中型化工石油工程或1项单项工程合同额7000万元以上的化工石油工程施工总承包或主体工程承包，工程质量合格。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2、企业经理具有8年以上从事工程管理工作经历或具有中级以上职称；技术负责人具有8年以上从事施工技术管理工作经历并具有本专业高级职称；财务负责人具有中级以上会计职称。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企业有职称的工程技术和经济管理人员不少于150人，其中工程技术人员不少于90人；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工程技术人员中，具有高级职称的人员不少于l0人，具有中级职称的人员</w:t>
      </w:r>
      <w:r w:rsidRPr="00694872">
        <w:rPr>
          <w:rFonts w:asciiTheme="minorEastAsia" w:hAnsiTheme="minorEastAsia"/>
          <w:sz w:val="24"/>
          <w:szCs w:val="24"/>
        </w:rPr>
        <w:lastRenderedPageBreak/>
        <w:t>不少于30人。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企业具有的二级资质以上项目经理不少于15人。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3、企业注册资本金3000万元以上，企业净资产3600万元以上。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694872">
        <w:rPr>
          <w:rFonts w:asciiTheme="minorEastAsia" w:hAnsiTheme="minorEastAsia"/>
          <w:sz w:val="24"/>
          <w:szCs w:val="24"/>
        </w:rPr>
        <w:t>年工程</w:t>
      </w:r>
      <w:proofErr w:type="gramEnd"/>
      <w:r w:rsidRPr="00694872">
        <w:rPr>
          <w:rFonts w:asciiTheme="minorEastAsia" w:hAnsiTheme="minorEastAsia"/>
          <w:sz w:val="24"/>
          <w:szCs w:val="24"/>
        </w:rPr>
        <w:t>结算收入1亿元以上。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承包工程范围：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特级企业：可承担各类型化工、石油、石油化工工程的施工。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一级企业：可承担单项合同额不超过企业注册资本金5倍的各类型化工、石油、石油化工工程的施工。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二级企业：可承担单项合同额不超过企业注册资本金5倍、单项合同额2亿元及以下的中小型化工、石油、石油化工工程的施工。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注：化工石油工程是指化工、石油和石油化工主体工程、配套工程及生产辅助附属工程。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大型化工石油工程是指：（1）30万吨／年以上生产能力的油（气）田主</w:t>
      </w:r>
      <w:proofErr w:type="gramStart"/>
      <w:r w:rsidRPr="00694872">
        <w:rPr>
          <w:rFonts w:asciiTheme="minorEastAsia" w:hAnsiTheme="minorEastAsia"/>
          <w:sz w:val="24"/>
          <w:szCs w:val="24"/>
        </w:rPr>
        <w:t>体配套</w:t>
      </w:r>
      <w:proofErr w:type="gramEnd"/>
      <w:r w:rsidRPr="00694872">
        <w:rPr>
          <w:rFonts w:asciiTheme="minorEastAsia" w:hAnsiTheme="minorEastAsia"/>
          <w:sz w:val="24"/>
          <w:szCs w:val="24"/>
        </w:rPr>
        <w:t>建设工程；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（2）50万立方米／日以上的气体处理工程；（3）250万吨／年以上的炼油工程或相应的生产装置：（4）30万吨／年以上的乙烯工程或相应的主生产装置；（5）30万吨／年以上的合成氨工程或相应的主生产装置；（6）24万吨／年以上磷铵工程或相应的主生产装置；（7）32万吨／年以上硫酸工程或相应的主生产装置；（8）50万p6／年以上纯碱工程、10万吨／年以上烧碱工程或相应的主生产装置；（9）4万吨／年以上合成橡胶、合成树脂及塑料和化纤工程或相应的主生产装置：（10）投资额2亿元以上的有机原料、染料、中间体、农药、助剂、试剂等工程或相应的主生产装置；（11）30万套／年以上的轮胎工程或相应的主生产装置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中型化工石油工程是指：（1）10万吨／年以上生产能力的油（气）田主</w:t>
      </w:r>
      <w:proofErr w:type="gramStart"/>
      <w:r w:rsidRPr="00694872">
        <w:rPr>
          <w:rFonts w:asciiTheme="minorEastAsia" w:hAnsiTheme="minorEastAsia"/>
          <w:sz w:val="24"/>
          <w:szCs w:val="24"/>
        </w:rPr>
        <w:t>体配套</w:t>
      </w:r>
      <w:proofErr w:type="gramEnd"/>
      <w:r w:rsidRPr="00694872">
        <w:rPr>
          <w:rFonts w:asciiTheme="minorEastAsia" w:hAnsiTheme="minorEastAsia"/>
          <w:sz w:val="24"/>
          <w:szCs w:val="24"/>
        </w:rPr>
        <w:t>建设工程；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（2）5万立方米／日及以下气体处理工程；（3）100万吨／年以上的炼油工程或相应的生产装置；（4）11万吨／年以上的乙烯工程或相应的主生产装置；（5）15万吨／年以上的合成氨工程或相应的主生产装置；（6）12万吨／年以上磷铵</w:t>
      </w:r>
      <w:r w:rsidRPr="00694872">
        <w:rPr>
          <w:rFonts w:asciiTheme="minorEastAsia" w:hAnsiTheme="minorEastAsia"/>
          <w:sz w:val="24"/>
          <w:szCs w:val="24"/>
        </w:rPr>
        <w:lastRenderedPageBreak/>
        <w:t>工程或相应的主生产装置；（7）16万吨／年以上硫酸工程或相应的主生产装置；（8）30万吨／年以上纯碱工程、；万吨／年以上烧碱工程或相应的主生产装置；（9）2万吨／年以上合成橡胶、合成树脂及塑料和化纤工程或相应的主生产装置；（10）投资额1亿元以上的有机原料、染料、中间体、农药、助剂、试剂等工程或相应的主生产装置；（11）20万套／年以上的轮胎工程或相应的主生产装置。</w:t>
      </w:r>
    </w:p>
    <w:p w:rsidR="00694872" w:rsidRPr="00694872" w:rsidRDefault="00694872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94872">
        <w:rPr>
          <w:rFonts w:asciiTheme="minorEastAsia" w:hAnsiTheme="minorEastAsia"/>
          <w:sz w:val="24"/>
          <w:szCs w:val="24"/>
        </w:rPr>
        <w:t>小型化工石油工程是指：（1）10万吨／年及以下生产能力的油（气）田主</w:t>
      </w:r>
      <w:proofErr w:type="gramStart"/>
      <w:r w:rsidRPr="00694872">
        <w:rPr>
          <w:rFonts w:asciiTheme="minorEastAsia" w:hAnsiTheme="minorEastAsia"/>
          <w:sz w:val="24"/>
          <w:szCs w:val="24"/>
        </w:rPr>
        <w:t>体配套</w:t>
      </w:r>
      <w:proofErr w:type="gramEnd"/>
      <w:r w:rsidRPr="00694872">
        <w:rPr>
          <w:rFonts w:asciiTheme="minorEastAsia" w:hAnsiTheme="minorEastAsia"/>
          <w:sz w:val="24"/>
          <w:szCs w:val="24"/>
        </w:rPr>
        <w:t>建设工程；（2）5万立方米／日及以下气体处理工程；（3）15万吨／年及以下的合成氨工程或相应的主生产装置；（4）l 2万吨／年及以下磷铵工程或相应的主生产装置；（5）16万吨／年及以下硫酸工程或相应的主生产装置；（6）30万吨／年及以下纯碱工程、5万吨／年及以下烧碱工程或相应的主生产装置；（7）2万吨／年及以下合成橡胶、合成树脂及塑料和化纤工程或相应的主生产装置；（8）投资额1亿元及以下的有机原料、染料、中间体、农药、助剂、试剂等工程或相应的主生产装置；（9）20万套／年及以下的轮胎工程或相应的主生产装置。</w:t>
      </w:r>
    </w:p>
    <w:p w:rsidR="00FD306C" w:rsidRPr="00694872" w:rsidRDefault="00FD306C" w:rsidP="00694872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694872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94872"/>
    <w:rsid w:val="00694872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69487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10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296</Words>
  <Characters>1692</Characters>
  <Application>Microsoft Office Word</Application>
  <DocSecurity>0</DocSecurity>
  <Lines>14</Lines>
  <Paragraphs>3</Paragraphs>
  <ScaleCrop>false</ScaleCrop>
  <Company>微软中国</Company>
  <LinksUpToDate>false</LinksUpToDate>
  <CharactersWithSpaces>1985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2013-04-02T07:37:00Z</dcterms:created>
  <dcterms:modified xsi:type="dcterms:W3CDTF">2013-04-02T07:38:00Z</dcterms:modified>
</cp:coreProperties>
</file>