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E7E" w:rsidRPr="00310E7E" w:rsidRDefault="00310E7E" w:rsidP="00310E7E">
      <w:pPr>
        <w:spacing w:line="360" w:lineRule="auto"/>
        <w:jc w:val="center"/>
        <w:rPr>
          <w:rFonts w:ascii="黑体" w:eastAsia="黑体" w:hAnsiTheme="minorEastAsia" w:hint="eastAsia"/>
          <w:b/>
          <w:color w:val="000000" w:themeColor="text1"/>
          <w:sz w:val="36"/>
          <w:szCs w:val="36"/>
        </w:rPr>
      </w:pPr>
      <w:r w:rsidRPr="00310E7E">
        <w:rPr>
          <w:rFonts w:ascii="黑体" w:eastAsia="黑体" w:hAnsiTheme="minorEastAsia" w:hint="eastAsia"/>
          <w:b/>
          <w:color w:val="000000" w:themeColor="text1"/>
          <w:sz w:val="36"/>
          <w:szCs w:val="36"/>
        </w:rPr>
        <w:t>吉林省人民政府关于规范招投标活动的意见</w:t>
      </w:r>
    </w:p>
    <w:p w:rsidR="00310E7E" w:rsidRDefault="00310E7E" w:rsidP="00310E7E">
      <w:pPr>
        <w:spacing w:line="360" w:lineRule="auto"/>
        <w:jc w:val="center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="黑体" w:eastAsia="黑体" w:hAnsiTheme="minorEastAsia" w:hint="eastAsia"/>
          <w:b/>
          <w:color w:val="000000" w:themeColor="text1"/>
          <w:sz w:val="36"/>
          <w:szCs w:val="36"/>
        </w:rPr>
        <w:t xml:space="preserve">发布部门: </w:t>
      </w:r>
      <w:hyperlink r:id="rId4" w:history="1">
        <w:r w:rsidRPr="00310E7E">
          <w:rPr>
            <w:rStyle w:val="a3"/>
            <w:rFonts w:ascii="黑体" w:eastAsia="黑体" w:hAnsiTheme="minorEastAsia" w:hint="eastAsia"/>
            <w:b/>
            <w:color w:val="000000" w:themeColor="text1"/>
            <w:sz w:val="36"/>
            <w:szCs w:val="36"/>
            <w:u w:val="none"/>
          </w:rPr>
          <w:t>吉林省人民政府</w:t>
        </w:r>
      </w:hyperlink>
      <w:r w:rsidRPr="00310E7E">
        <w:rPr>
          <w:rFonts w:ascii="黑体" w:eastAsia="黑体" w:hAnsiTheme="minorEastAsia" w:hint="eastAsia"/>
          <w:b/>
          <w:color w:val="000000" w:themeColor="text1"/>
          <w:sz w:val="36"/>
          <w:szCs w:val="36"/>
        </w:rPr>
        <w:t xml:space="preserve"> </w:t>
      </w:r>
      <w:r w:rsidRPr="00310E7E">
        <w:rPr>
          <w:rFonts w:ascii="黑体" w:eastAsia="黑体" w:hAnsiTheme="minorEastAsia" w:hint="eastAsia"/>
          <w:b/>
          <w:color w:val="000000" w:themeColor="text1"/>
          <w:sz w:val="36"/>
          <w:szCs w:val="36"/>
        </w:rPr>
        <w:br/>
        <w:t xml:space="preserve">发布文号: 吉政发[2006]21号 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</w:r>
    </w:p>
    <w:p w:rsidR="00310E7E" w:rsidRDefault="00310E7E" w:rsidP="00310E7E">
      <w:pPr>
        <w:spacing w:line="360" w:lineRule="auto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各市(州)、县(市)人民政府，省政府各厅委、各直属机构：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为进一步从体制、机制上治理商业贿赂，改善我省</w:t>
      </w:r>
      <w:hyperlink r:id="rId5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经济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社会发展环境，加强对招投标活动的管理与监督，规范招投标操作程序，依据《中华人民共和国</w:t>
      </w:r>
      <w:hyperlink r:id="rId6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招标投标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法》、《中华人民共和国政府采购法》等</w:t>
      </w:r>
      <w:hyperlink r:id="rId7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法律</w:t>
        </w:r>
      </w:hyperlink>
      <w:hyperlink r:id="rId8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法规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及有关规定，结合我省实际，提出如下意见：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一、充分认识规范招投标活动的重要意义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按照统一集中管理、整合专家资源、规范操作程序、实施严密监管的要求，将建设工程招投标、政府采购、产权交易等纳入政务大厅规范运作，是完善社会主义市场</w:t>
      </w:r>
      <w:hyperlink r:id="rId9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经济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体制的重要措施，是提高国有资产使用效益的有效手段，是省委、省政府维护公平竞争秩序、治理商业贿赂、预防和遏制腐败的一项重大决策，也是在建立有形市场基础上的深化改革。当前，我省招投标活动总体形势较好，但仍存在一些突出问题：一些地区和部门违反有关</w:t>
      </w:r>
      <w:hyperlink r:id="rId10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法律</w:t>
        </w:r>
      </w:hyperlink>
      <w:hyperlink r:id="rId11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法规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，实行行业垄断和地区封锁;少数项目业主逃避招标、虚假招标，不严格按照法定程序开标、评标和定标;有关行政监督部门对违法行为查处不力;一些部门和少数领导干部直接介入或干预招投标活动，腐败现象比较突出。这些问题客观上迫切需要政府通过健全制度、完善机制、强化监督、规范行为加以解决。各级政府、各部门要切实提高对规范招投标活动重要意义的认识，统一思想，高度重视，确保省政府重大决策的实施。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 xml:space="preserve">　　二、构建招投标统一平台，切实加强管理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要充分发挥政务大厅公共服务功能，构建招投标统一平台，规范招投标行为，使投标人在平等的条件和环境下参与竞争，促进公平公正。改变以往分散操作招投标的方式，将省本级政府采购以及省建设厅、省水利厅、省交通厅(包括省公路管理局)等部门负责监管的国有资金投资的招投标业务，全部纳入省政务大厅规范运作。在积累经验的基础上，要逐步将产权交易、药品采购、电力工程招标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等项目纳入政务大厅。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为加强统一领导，维护招投标活动秩序，成立省招投标工作领导机构，负责全省建设工程和政府</w:t>
      </w:r>
      <w:proofErr w:type="gramStart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采购等招投标</w:t>
      </w:r>
      <w:proofErr w:type="gramEnd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管理中重大事项的决策和协调。各地也要结合工作实际，按照省里的模式，组建招投标领导机构，形成全省上下协调统一的管理体系，为招投标当事人提供公正透明的竞争环境。</w:t>
      </w:r>
      <w:r>
        <w:rPr>
          <w:rFonts w:asciiTheme="minorEastAsia" w:hAnsiTheme="minorEastAsia" w:hint="eastAsia"/>
          <w:color w:val="000000" w:themeColor="text1"/>
          <w:sz w:val="24"/>
          <w:szCs w:val="24"/>
        </w:rPr>
        <w:t>】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三、规范公告制度和代理行为，提高招投标活动透明度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为保证投标人平等、便捷地获取招标信息，凡在政务大厅进行的招标项目公告，除在国家或省政府指定媒介发布外，还必须在政务大厅信息网同步发布。除国家另有规定外，对在指定媒介发布依法必须招标项目的招标公告，不得收取费用。对非法干预招标公告发布活动的，依法追究领导和直接责任人责任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政务大厅和相关部门要不断强化招投标相关信息的公开，提高监管和公共服务能力。要公布招标事项核准、招标公告、中标候选人、中标结果、招标代理机构(含政府采购代理机构，下同)代理活动等信息，及时公告对违规招投标行为的处理结果、招投标活动当事人不良行为记录等相关信息，以利于社会监督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政务大厅要采取切实措施，防止和杜绝标书发售不及时、限制投标人参与投标等行为。招标代理机构必须在政务大厅窗口办理投标企业报名并发售标书，方便投标人购买和现场咨询。同时，不得以招标、采购金额作为确定标书售价的依据。</w:t>
      </w:r>
      <w:proofErr w:type="gramStart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各级行业</w:t>
      </w:r>
      <w:proofErr w:type="gramEnd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主管部门和物价部门要加强对标书售价的审核和管理，制止和纠正标书售价过高、超出制作成本、谋取不合理</w:t>
      </w:r>
      <w:hyperlink r:id="rId12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经济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利益的行为。招标代理机构要积极推进网上传输和异地下载等业务，给广大投标人带来更多便捷和真正实惠。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四、整合专家资源，完善专家评审制度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建立政务大厅综合评标专家库，将分散在各部门的专家集中统一管理，实现评标专家资源共享。由各行业主管部门联合组成综合评标专家管理委员会，负责评标专家的征集、资格认定、考核及培训、监督和管理。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健全评标专家管理制度，严格评标专家资格认定，加强对评标专家的培训、考核、评价和档案管理，根据实际需要和专家考核情况及时对评标专家进行更换或补充，实行评标专家的动态管理。严格执行回避制度，项目主管部门和行政监督部门的工作人员，不得作为专家和评标委员会成员参与评标。严明评标纪律，对评标专家在评标活动中的违法违规行为，视情节依法给予警告、没收收受的财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物、罚款等处罚;情节严重的，取消其评标专家资格;构成犯罪的，要依法追究</w:t>
      </w:r>
      <w:hyperlink r:id="rId13" w:history="1">
        <w:r w:rsidRPr="00310E7E">
          <w:rPr>
            <w:rStyle w:val="a3"/>
            <w:rFonts w:asciiTheme="minorEastAsia" w:hAnsiTheme="minorEastAsia" w:hint="eastAsia"/>
            <w:color w:val="000000" w:themeColor="text1"/>
            <w:sz w:val="24"/>
            <w:szCs w:val="24"/>
            <w:u w:val="none"/>
          </w:rPr>
          <w:t>刑事</w:t>
        </w:r>
      </w:hyperlink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责任。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严格专家抽取程序，专家抽取要采用计算机随机抽取方式，任何单位和个人不得自行指定专家。参与抽取的相关人员评标前一律不得离开抽取现场，不得私自与外界联络。专家抽取过程实行全程声像监控，刻制光盘，建档保存。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五、规范操作程序，切实提高公正性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各项开标、评标和定标活动，要严格按照政务大厅招投标业务操作规程执行。开标活动必须公开透明，开标过程必须在现场电子屏幕或投影幕同步显示。评标、定标活动一律在封闭评标区内进行。除评标委员会成员、现场监督人员、招标代理机构和政务大厅相关工作人员外，其他人员一律不得进入。评标区屏蔽通信信号，进入评标现场人员的通讯工具必须由工作人员统一保管。评标专家一律通过指纹识别鉴定进入现场，询标统一使用语音变声技术。投标人答疑统一在答疑室内进行，与专家不见面。开标、评标活动进行全程声像监控，刻制光盘，建档保存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各行业主管部门和招标代理机构要创新评标方式，提高效率。评标标准和办法要作为招标文件的重要组成部分予以公开，资格审查和综合打分要严格按照公布的评标标准和办法进行。评标方式推行表格化。行业主管部门要结合</w:t>
      </w:r>
      <w:proofErr w:type="gramStart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各类招投标</w:t>
      </w:r>
      <w:proofErr w:type="gramEnd"/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活动的特点，本着由繁到简、方便实用的原则，制定简捷明晰、指标量化的评审表格，减少专家评审工作量。同时，要充分利用信息技术手段，开发计算机辅助评标系统，对评标工作流程实施系统控制和管理，实现资格审查、综合打分自动统计和汇总，缩短评标时间，提高评标效率，原则上不搞“过夜评标”。</w:t>
      </w:r>
    </w:p>
    <w:p w:rsidR="00310E7E" w:rsidRDefault="00310E7E" w:rsidP="00310E7E">
      <w:pPr>
        <w:spacing w:line="360" w:lineRule="auto"/>
        <w:ind w:firstLine="465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六、实施严密监管，确保招投标活动规范进行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组织制定政务大厅招投标业务操作规程和监督办法，确保招投标各环节程序严密，运行规范。凡在政务大厅开展的招投标活动，必须在相关行业主管部门、政务大厅和监察部门全程监督下运作，形成各部门相互配合、相互监督、相互制约的工作机制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监察部门要会同有关行业主管部门，加强对招投标过程中泄露保密资料、泄露标底、串通招标、串通投标、歧视和排斥投标等违法活动的监督执法。加大对转包、违法分包行为的查处力度，对将中标项目全部转让、分别转让，或者违法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lastRenderedPageBreak/>
        <w:t>将中标项目的部分主体、关键性工作层层分包，以及挂靠有资质或高资质单位并以其名义投标，或者从其他单位租借资质证书等行为，必须依法给予罚款、没收违法所得、责令停业整顿等处罚;情节严重的，由工商行政管理部门吊销其营业执照。同时，对接受转包、违法分包的单位，要及时清退。</w:t>
      </w: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br/>
        <w:t xml:space="preserve">　　有关行业主管部门要加快职能转变，改变重事前审批、轻事后监管的倾向，加强对招投标全过程的监督执法。项目审批部门对不依照核准事项进行招标的行为，要及时依法实施处罚。进一步完善招投标投诉处理机制，及时受理并查处违法行为。任何政府部门和个人，特别是各级领导干部，不得以权谋私，采取暗示、授意、打招呼、递条子、指定、强令等方式，干预和插手具体的招投标活动。要加强对招投标执法活动的监督，结合治理商业贿赂工作，严厉查处招投标活动中的腐败现象和不正之风。要规范招投标行政监督部门的工作，加强招投标监督管理队伍建设，提高依法行政水平。</w:t>
      </w:r>
    </w:p>
    <w:p w:rsidR="00310E7E" w:rsidRPr="00310E7E" w:rsidRDefault="00310E7E" w:rsidP="00310E7E">
      <w:pPr>
        <w:spacing w:line="360" w:lineRule="auto"/>
        <w:ind w:firstLine="465"/>
        <w:jc w:val="right"/>
        <w:rPr>
          <w:rFonts w:asciiTheme="minorEastAsia" w:hAnsiTheme="minorEastAsia"/>
          <w:color w:val="000000" w:themeColor="text1"/>
          <w:sz w:val="24"/>
          <w:szCs w:val="24"/>
        </w:rPr>
      </w:pPr>
      <w:r w:rsidRPr="00310E7E">
        <w:rPr>
          <w:rFonts w:asciiTheme="minorEastAsia" w:hAnsiTheme="minorEastAsia" w:hint="eastAsia"/>
          <w:color w:val="000000" w:themeColor="text1"/>
          <w:sz w:val="24"/>
          <w:szCs w:val="24"/>
        </w:rPr>
        <w:t>二○○六年五月二十六日</w:t>
      </w:r>
    </w:p>
    <w:sectPr w:rsidR="00310E7E" w:rsidRPr="00310E7E" w:rsidSect="00293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10E7E"/>
    <w:rsid w:val="002937C4"/>
    <w:rsid w:val="00310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7C4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310E7E"/>
    <w:pPr>
      <w:widowControl/>
      <w:spacing w:before="450" w:after="100" w:afterAutospacing="1"/>
      <w:jc w:val="center"/>
      <w:outlineLvl w:val="0"/>
    </w:pPr>
    <w:rPr>
      <w:rFonts w:ascii="宋体" w:eastAsia="宋体" w:hAnsi="宋体" w:cs="宋体"/>
      <w:b/>
      <w:bCs/>
      <w:kern w:val="36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310E7E"/>
    <w:rPr>
      <w:rFonts w:ascii="宋体" w:eastAsia="宋体" w:hAnsi="宋体" w:cs="宋体"/>
      <w:b/>
      <w:bCs/>
      <w:kern w:val="36"/>
      <w:sz w:val="36"/>
      <w:szCs w:val="36"/>
    </w:rPr>
  </w:style>
  <w:style w:type="character" w:styleId="a3">
    <w:name w:val="Hyperlink"/>
    <w:basedOn w:val="a0"/>
    <w:uiPriority w:val="99"/>
    <w:unhideWhenUsed/>
    <w:rsid w:val="00310E7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83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4767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8742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910340">
                  <w:marLeft w:val="0"/>
                  <w:marRight w:val="0"/>
                  <w:marTop w:val="0"/>
                  <w:marBottom w:val="0"/>
                  <w:divBdr>
                    <w:top w:val="single" w:sz="6" w:space="0" w:color="92B0DD"/>
                    <w:left w:val="single" w:sz="6" w:space="0" w:color="92B0DD"/>
                    <w:bottom w:val="single" w:sz="6" w:space="0" w:color="92B0DD"/>
                    <w:right w:val="single" w:sz="6" w:space="0" w:color="92B0DD"/>
                  </w:divBdr>
                  <w:divsChild>
                    <w:div w:id="757336950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B6CAE3"/>
                        <w:right w:val="none" w:sz="0" w:space="0" w:color="auto"/>
                      </w:divBdr>
                    </w:div>
                    <w:div w:id="1147743461">
                      <w:marLeft w:val="0"/>
                      <w:marRight w:val="0"/>
                      <w:marTop w:val="195"/>
                      <w:marBottom w:val="19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110.com/fagui/" TargetMode="External"/><Relationship Id="rId13" Type="http://schemas.openxmlformats.org/officeDocument/2006/relationships/hyperlink" Target="http://www.110.com/ask/browse-c73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110.com/fagui/" TargetMode="External"/><Relationship Id="rId12" Type="http://schemas.openxmlformats.org/officeDocument/2006/relationships/hyperlink" Target="http://www.110.com/ask/browse-c72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110.com/ask/browse-c20.html" TargetMode="External"/><Relationship Id="rId11" Type="http://schemas.openxmlformats.org/officeDocument/2006/relationships/hyperlink" Target="http://www.110.com/fagui/" TargetMode="External"/><Relationship Id="rId5" Type="http://schemas.openxmlformats.org/officeDocument/2006/relationships/hyperlink" Target="http://www.110.com/ask/browse-c72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110.com/fagui/" TargetMode="External"/><Relationship Id="rId4" Type="http://schemas.openxmlformats.org/officeDocument/2006/relationships/hyperlink" Target="http://www.110.com/fagui/unit_861_1.html" TargetMode="External"/><Relationship Id="rId9" Type="http://schemas.openxmlformats.org/officeDocument/2006/relationships/hyperlink" Target="http://www.110.com/ask/browse-c72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529</Words>
  <Characters>3020</Characters>
  <Application>Microsoft Office Word</Application>
  <DocSecurity>0</DocSecurity>
  <Lines>25</Lines>
  <Paragraphs>7</Paragraphs>
  <ScaleCrop>false</ScaleCrop>
  <Company>微软中国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2012-12-18T01:41:00Z</dcterms:created>
  <dcterms:modified xsi:type="dcterms:W3CDTF">2012-12-18T01:49:00Z</dcterms:modified>
</cp:coreProperties>
</file>