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BBD" w:rsidRPr="00042BBD" w:rsidRDefault="00042BBD" w:rsidP="00042BBD">
      <w:pPr>
        <w:widowControl/>
        <w:shd w:val="clear" w:color="auto" w:fill="FFFFFF"/>
        <w:spacing w:line="360" w:lineRule="atLeast"/>
        <w:jc w:val="center"/>
        <w:rPr>
          <w:rFonts w:ascii="宋体" w:eastAsia="宋体" w:hAnsi="宋体" w:cs="宋体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b/>
          <w:bCs/>
          <w:color w:val="000000"/>
          <w:kern w:val="0"/>
        </w:rPr>
        <w:t>吉林省建设厅关于建设工程计价有关规定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center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 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center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生效日期：2007年10月15日【实施日期】2007/10/15【颁发文号】吉建造[2007]16号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 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一、实行工程量清单计价的工程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1、由于工程量清单漏项、现场签证或设计变更而增减的工程量清单项目应根据《建设工程工程量清单计价规范》规定按实计算。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2、由于工程量清单的工程量有误、现场签证或设计变更引起的工程量增减，工程结算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时工程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量按实调整。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3、关于工程量增减、项目增减或综合单价的确定及索赔等问题按《建设工程工程量清单计价规范》及有关规定执行。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4、承包人在工程量清单投标报价时应考虑价格上涨等风险系数，风险系数范围和幅度应在合同中约定，竣工结算时应按照合同约定的幅度和范围进行调整。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二、实行定额计价的工程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1、按定额计价方式结算的工程，其人工、材料、机械台班价格按合同约定执行，合同中没有约定或约定不明确的，应按各市、州造价管理部门公布的信息价格(机械台班、周转材料租赁价格除外)执行。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2、劳务分包工程按《吉林省建筑劳务分包工程计价管理暂行办法》(吉建造[2007]8号)的规定执行。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3、采用新材料、新工艺及节能材料、定额中没有的项目，由承发包双方编制一次性补充估价表，报建设行政主管部门审批后列入工程结算。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4、发包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方供应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的材料(包工包料工程)，工程结算时应按定额基价参与取费，由承包方保管的材料应计取材料价格1.7%的保管费。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三、房屋建筑工程由发包方负责交纳施工用水、用电费用时，按水、电表的实际计量数，在工程财务结算时扣回，没有水、电表的工程，按建筑面积计算：使用商品混凝土的，水的消耗量为0.35立方米/平方米,电的消耗量为7.70千瓦小时/平方米;未使用商品混凝土的，水的消耗量为0.70立方米/平方米,电的消耗量为8.70千瓦小时/平方米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四、由发包方直接发包的专业工程与土建工程交叉作业时，发包方应向土建总承包方支付专业工程造价2%的施工配合费(施工配合费指土建、分包工程由不同单位施工时，土建施工单位为分包工程施工提供服务所发生的费用。不包括分包工程施工水电费、临时设施费、脚手架费、垂直运输费、场地清理费以及属于土建工程实体的费用)。对列入建筑工程总承</w:t>
      </w: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lastRenderedPageBreak/>
        <w:t>包合同，由发包方指定分包的专业工程，发包方应向总承包方支付专业工程造价2%的总包管理费。虽未列入总承包合同，但发包方要求总承包单位进行协调施工质量、现场进度、负责竣工资料整理、存档备案等工作的，发包方也应向总承包方支付分包工程造价2%的总包管理费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五、安全防护、文明施工措施费(包括环境保护费、文明施工费、临时设施费、安全施工费)不得作为投标竞价的费用，应按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吉林省建设厅吉建办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[2006]16号文件规定执行。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六、工程造价中的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规费执行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国家和省的规定，不得作为投标竞价的费用，并于开工前向施工单位支付。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规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费中的养老保险费应按《吉林省施工企业劳动保险费取费证书》核定的费率标准执行。</w:t>
      </w:r>
    </w:p>
    <w:p w:rsidR="00042BBD" w:rsidRPr="00042BBD" w:rsidRDefault="00042BBD" w:rsidP="00042BBD">
      <w:pPr>
        <w:widowControl/>
        <w:shd w:val="clear" w:color="auto" w:fill="FFFFFF"/>
        <w:spacing w:before="150"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七、工程造价咨询单位应当严格遵守工程造价管理有关规定，在承接工程造价咨询业务时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签定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工程造价咨询合同。工程造价咨询单位不得以给予回扣、恶意压低收费标准等方式进行不正当竞争。</w:t>
      </w:r>
    </w:p>
    <w:p w:rsidR="00042BBD" w:rsidRPr="00042BBD" w:rsidRDefault="00042BBD" w:rsidP="00042BBD">
      <w:pPr>
        <w:widowControl/>
        <w:shd w:val="clear" w:color="auto" w:fill="FFFFFF"/>
        <w:spacing w:line="360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八、注册造价工程师和</w:t>
      </w:r>
      <w:proofErr w:type="gramStart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造价员</w:t>
      </w:r>
      <w:proofErr w:type="gramEnd"/>
      <w:r w:rsidRPr="00042BBD">
        <w:rPr>
          <w:rFonts w:ascii="宋体" w:eastAsia="宋体" w:hAnsi="宋体" w:cs="宋体" w:hint="eastAsia"/>
          <w:color w:val="000000"/>
          <w:kern w:val="0"/>
          <w:szCs w:val="21"/>
        </w:rPr>
        <w:t>应当恪守职业道德，并对签字盖章的工程造价成果文件承担相应的法律责任。</w:t>
      </w:r>
    </w:p>
    <w:p w:rsidR="00D91812" w:rsidRPr="00042BBD" w:rsidRDefault="00D91812"/>
    <w:sectPr w:rsidR="00D91812" w:rsidRPr="00042BBD" w:rsidSect="00D918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42BBD"/>
    <w:rsid w:val="00042BBD"/>
    <w:rsid w:val="00D918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8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42BB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042BB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48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205</Words>
  <Characters>1171</Characters>
  <Application>Microsoft Office Word</Application>
  <DocSecurity>0</DocSecurity>
  <Lines>9</Lines>
  <Paragraphs>2</Paragraphs>
  <ScaleCrop>false</ScaleCrop>
  <Company>微软中国</Company>
  <LinksUpToDate>false</LinksUpToDate>
  <CharactersWithSpaces>1374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2013-04-07T05:50:00Z</dcterms:created>
  <dcterms:modified xsi:type="dcterms:W3CDTF">2013-04-07T05:53:00Z</dcterms:modified>
</cp:coreProperties>
</file>