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346F" w:rsidRPr="0045346F" w:rsidRDefault="0045346F" w:rsidP="0045346F">
      <w:pPr>
        <w:widowControl/>
        <w:spacing w:before="100" w:beforeAutospacing="1" w:after="240"/>
        <w:jc w:val="center"/>
        <w:rPr>
          <w:rFonts w:ascii="宋体" w:eastAsia="宋体" w:hAnsi="宋体" w:cs="宋体"/>
          <w:kern w:val="0"/>
          <w:sz w:val="18"/>
          <w:szCs w:val="18"/>
        </w:rPr>
      </w:pPr>
      <w:r w:rsidRPr="0045346F">
        <w:rPr>
          <w:rFonts w:ascii="黑体" w:eastAsia="黑体" w:hAnsi="宋体" w:cs="宋体" w:hint="eastAsia"/>
          <w:b/>
          <w:bCs/>
          <w:color w:val="FF0000"/>
          <w:kern w:val="0"/>
          <w:sz w:val="36"/>
        </w:rPr>
        <w:t xml:space="preserve">吉林省建设工程造价管理办法 </w:t>
      </w:r>
      <w:r w:rsidRPr="0045346F">
        <w:rPr>
          <w:rFonts w:ascii="宋体" w:eastAsia="宋体" w:hAnsi="宋体" w:cs="宋体"/>
          <w:kern w:val="0"/>
          <w:sz w:val="18"/>
          <w:szCs w:val="18"/>
        </w:rPr>
        <w:br/>
      </w:r>
    </w:p>
    <w:p w:rsidR="0045346F" w:rsidRPr="0045346F" w:rsidRDefault="0045346F" w:rsidP="0045346F">
      <w:pPr>
        <w:widowControl/>
        <w:jc w:val="left"/>
        <w:rPr>
          <w:rFonts w:ascii="宋体" w:eastAsia="宋体" w:hAnsi="宋体" w:cs="宋体"/>
          <w:kern w:val="0"/>
          <w:sz w:val="18"/>
          <w:szCs w:val="18"/>
        </w:rPr>
      </w:pPr>
      <w:r w:rsidRPr="0045346F">
        <w:rPr>
          <w:rFonts w:ascii="宋体" w:eastAsia="宋体" w:hAnsi="宋体" w:cs="宋体"/>
          <w:kern w:val="0"/>
          <w:sz w:val="18"/>
          <w:szCs w:val="18"/>
        </w:rPr>
        <w:t xml:space="preserve">  </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b/>
          <w:bCs/>
          <w:color w:val="4F4F4F"/>
          <w:kern w:val="0"/>
          <w:szCs w:val="21"/>
        </w:rPr>
      </w:pPr>
      <w:r w:rsidRPr="0045346F">
        <w:rPr>
          <w:rFonts w:ascii="宋体" w:eastAsia="宋体" w:hAnsi="宋体" w:cs="宋体" w:hint="eastAsia"/>
          <w:b/>
          <w:bCs/>
          <w:color w:val="4F4F4F"/>
          <w:kern w:val="0"/>
        </w:rPr>
        <w:t>吉林省人民政府令</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hint="eastAsia"/>
          <w:b/>
          <w:bCs/>
          <w:color w:val="4F4F4F"/>
          <w:kern w:val="0"/>
        </w:rPr>
      </w:pPr>
      <w:r w:rsidRPr="0045346F">
        <w:rPr>
          <w:rFonts w:ascii="宋体" w:eastAsia="宋体" w:hAnsi="宋体" w:cs="宋体" w:hint="eastAsia"/>
          <w:b/>
          <w:bCs/>
          <w:color w:val="4F4F4F"/>
          <w:kern w:val="0"/>
        </w:rPr>
        <w:t>第222号</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hint="eastAsia"/>
          <w:kern w:val="0"/>
          <w:sz w:val="24"/>
          <w:szCs w:val="24"/>
        </w:rPr>
      </w:pPr>
      <w:r w:rsidRPr="0045346F">
        <w:rPr>
          <w:rFonts w:ascii="宋体" w:eastAsia="宋体" w:hAnsi="宋体" w:cs="宋体" w:hint="eastAsia"/>
          <w:b/>
          <w:bCs/>
          <w:color w:val="4F4F4F"/>
          <w:kern w:val="0"/>
        </w:rPr>
        <w:t>吉林省建设工程造价管理办法</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color w:val="4F4F4F"/>
          <w:kern w:val="0"/>
          <w:szCs w:val="21"/>
        </w:rPr>
      </w:pPr>
      <w:r w:rsidRPr="0045346F">
        <w:rPr>
          <w:rFonts w:ascii="宋体" w:eastAsia="宋体" w:hAnsi="宋体" w:cs="宋体" w:hint="eastAsia"/>
          <w:b/>
          <w:bCs/>
          <w:color w:val="4F4F4F"/>
          <w:kern w:val="0"/>
        </w:rPr>
        <w:t>第一章  总  则</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第一条  为了加强建设工程造价管理，合理确定和有效控制建设工程造价，维护建设工程各方当事人的合法权益，根据《中华人民共和国建筑法》及有关法律、法规，结合本省实际，制定本办法。</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第二条  本省行政区域内的建设工程造价及其监督管理活动，适用本办法。</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第三条  本办法所称建设工程造价是指建设工程项目从立项到竣工，按照国家和省有关规定应当计入建设项目投资的建筑安装工程费、设备及工器具购置费、工程建设其他费、预备费、有关税费和建设期间贷款利息等费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第四条  本办法所称建设工程造价计价是指对建设工程造价进行确定与控制的活动，主要包括：</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（一）编制和审核投资估算、初步设计概算、施工图预算、工程量清单、招标标底、招标控制价、投标报价；</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（二）约定和调整合同价款；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（三）实施工程计量与支付工程价款；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（四）办理工程索赔与变更签证、工程结算和决算；</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（五）处理建设工程造价争议和进行建设工程造价鉴定；</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（六）与建设工程造价确定和控制有关的其他活动。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第五条  省住房和城乡建设行政主管部门负责全省建设工程造价的监督管理，具体工作可以委托所属的建设工程造价管理机构实施。</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县级以上住房和城乡建设行政主管部门负责本行政区域内建设工程造价的监督管理工作。</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各级建设工程造价管理机构依法履行职责所必须的经费，由同级财政部门按国家和省有关规定予以保障。</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各级专业建设工程行政主管部门在各自职责范围内，依法负责本行政区域</w:t>
      </w:r>
      <w:proofErr w:type="gramStart"/>
      <w:r w:rsidRPr="0045346F">
        <w:rPr>
          <w:rFonts w:ascii="宋体" w:eastAsia="宋体" w:hAnsi="宋体" w:cs="宋体"/>
          <w:color w:val="4F4F4F"/>
          <w:kern w:val="0"/>
          <w:szCs w:val="21"/>
        </w:rPr>
        <w:t>内专业</w:t>
      </w:r>
      <w:proofErr w:type="gramEnd"/>
      <w:r w:rsidRPr="0045346F">
        <w:rPr>
          <w:rFonts w:ascii="宋体" w:eastAsia="宋体" w:hAnsi="宋体" w:cs="宋体"/>
          <w:color w:val="4F4F4F"/>
          <w:kern w:val="0"/>
          <w:szCs w:val="21"/>
        </w:rPr>
        <w:t>建设工程造价的监督管理工作。</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第六条  财政部门负责财政性资金投资项目的预算、竣工结（决）</w:t>
      </w:r>
      <w:proofErr w:type="gramStart"/>
      <w:r w:rsidRPr="0045346F">
        <w:rPr>
          <w:rFonts w:ascii="宋体" w:eastAsia="宋体" w:hAnsi="宋体" w:cs="宋体"/>
          <w:color w:val="4F4F4F"/>
          <w:kern w:val="0"/>
          <w:szCs w:val="21"/>
        </w:rPr>
        <w:t>算评价</w:t>
      </w:r>
      <w:proofErr w:type="gramEnd"/>
      <w:r w:rsidRPr="0045346F">
        <w:rPr>
          <w:rFonts w:ascii="宋体" w:eastAsia="宋体" w:hAnsi="宋体" w:cs="宋体"/>
          <w:color w:val="4F4F4F"/>
          <w:kern w:val="0"/>
          <w:szCs w:val="21"/>
        </w:rPr>
        <w:t>与审查。</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第七条  建设工程造价行业协会应当加强行业自律，发挥行业服务和协调作用。</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color w:val="4F4F4F"/>
          <w:kern w:val="0"/>
          <w:szCs w:val="21"/>
        </w:rPr>
      </w:pPr>
      <w:r w:rsidRPr="0045346F">
        <w:rPr>
          <w:rFonts w:ascii="宋体" w:eastAsia="宋体" w:hAnsi="宋体" w:cs="宋体"/>
          <w:color w:val="4F4F4F"/>
          <w:kern w:val="0"/>
          <w:szCs w:val="21"/>
        </w:rPr>
        <w:t xml:space="preserve">　　</w:t>
      </w:r>
      <w:r w:rsidRPr="0045346F">
        <w:rPr>
          <w:rFonts w:ascii="宋体" w:eastAsia="宋体" w:hAnsi="宋体" w:cs="宋体" w:hint="eastAsia"/>
          <w:b/>
          <w:bCs/>
          <w:color w:val="4F4F4F"/>
          <w:kern w:val="0"/>
        </w:rPr>
        <w:t>第二章  建设工程造价计价依据</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第八条  建设工程造价计价依据：</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（一）估算指标、概算定额；</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（二）工程计价定额、一次性补充定额、费用定额及标准；</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（三）工期定额和劳动定额；</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（四）人工、材料（设备）及一次性补充材料价格和施工机械台班综合价格；</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（五）工程量清单计价规范；</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（六）各级建设工程造价管理机构公布的计价信息及结算文件；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（七）国家和本省规定的其他依据。</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第九条  建设工程造价计价依据按以下规定制定：</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估算指标、概算定额、工程计价定额、费用定额、工期定额、劳动定额、工程量清单计价规范、工程造价标准规范和工程计价信息等由省建设工程造价管理机构根据国家工程建设规范、标准及市场价格信息编制和调整，报省住房和城乡建设行政主管部门发布；</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（二）建设工程一次性补充定额，由各市（州）住房和城乡建设行政主管部门测定，报省住房和城乡建设行政主管部门确认、发布；</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（三）建设工程一次性补充材料价格，由各市（州）住房和城乡建设行政主管部门制定，发布；</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（四）各市（州）行政区域内的人工、材料、施工机械台班等价格信息，由各市（州）住房和城乡建设行政主管部门采集、测算、汇总，报省住房和城乡建设行政主管部门定期发布。</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第十条  承包人在进行工程结算时应当持有《吉林省施工企业社会保险费取费证书》，按照省住房和城乡建设行政主管部门当年核定的费率向发包人计取相关费用。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第十一条  建筑工程质量安全成本由各市（州）住房和城乡建设行政主管部门按照省住房和城乡建设行政主管部门划分的建筑结构类型采集、测算，报省住房和城乡建设行政主管部门确认，在规定的时间内向社会公布。</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color w:val="4F4F4F"/>
          <w:kern w:val="0"/>
          <w:szCs w:val="21"/>
        </w:rPr>
      </w:pPr>
      <w:r w:rsidRPr="0045346F">
        <w:rPr>
          <w:rFonts w:ascii="宋体" w:eastAsia="宋体" w:hAnsi="宋体" w:cs="宋体"/>
          <w:color w:val="4F4F4F"/>
          <w:kern w:val="0"/>
          <w:szCs w:val="21"/>
        </w:rPr>
        <w:t xml:space="preserve">　　</w:t>
      </w:r>
      <w:r w:rsidRPr="0045346F">
        <w:rPr>
          <w:rFonts w:ascii="宋体" w:eastAsia="宋体" w:hAnsi="宋体" w:cs="宋体" w:hint="eastAsia"/>
          <w:b/>
          <w:bCs/>
          <w:color w:val="4F4F4F"/>
          <w:kern w:val="0"/>
        </w:rPr>
        <w:t>第三章  建设工程造价编制与控制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第十二条  建设工程造价按以下规定编制：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（一）建设单位根据建设规模、工程建设标准、工艺技术标准、估算指标、工程计价依据并参考建设期间价格、利率变化等因素编制投资估算；</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（二）建设单位、相关设计单位或者建设工程造价咨询企业在投资估算范围内按照概算指标或者概算定额、市场价格等因素编制设计概算；</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（三）施工单位或者工程造价咨询企业应当在经批准的设计概算范围内，依据经审定的施工图、施工方案、市场价格等因素编制施工图预算；</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（四）工程竣工结算由承包人在施工图预算范围内，结合施工合同约定的工程价款及合同约定的调整内容编制。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第十三条  全部使用国有资金投资或者以国有资金投资为主的建设工程项目，必须采用工程量清单计价。</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工程量清单应当由具有编制能力的招标人或者受其委托的具有相应资质的建设工程造价咨询企业编制。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第十四条  实行工程量清单计价方式招标的工程项目，工程量清单应当作为编制招标控制价、投标报价、工程计量与价款支付、调整和办理工程竣工结算的依据。</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第十五条  实行工程量清单计价方式进行招标的工程项目，应当根据国家和省规定的计价依据及相关规定，按照设计、施工图纸编制招标控制价。</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招标控制价由招标人编制，招标人没有编制能力的，应当委托具有相应资质的建设工程造价咨询企业编制。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招标控制价应当在招标时公布，不得上调或者下浮。招标人应当将招标控制价报送工程项目所在地建设工程造价管理机构备案。</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第十六条  国有资金投资或者以国有资金投资为主的建设工程项目，其招标控制价超过批准的概算时，招标人应当将招标</w:t>
      </w:r>
      <w:proofErr w:type="gramStart"/>
      <w:r w:rsidRPr="0045346F">
        <w:rPr>
          <w:rFonts w:ascii="宋体" w:eastAsia="宋体" w:hAnsi="宋体" w:cs="宋体"/>
          <w:color w:val="4F4F4F"/>
          <w:kern w:val="0"/>
          <w:szCs w:val="21"/>
        </w:rPr>
        <w:t>控制价报原</w:t>
      </w:r>
      <w:proofErr w:type="gramEnd"/>
      <w:r w:rsidRPr="0045346F">
        <w:rPr>
          <w:rFonts w:ascii="宋体" w:eastAsia="宋体" w:hAnsi="宋体" w:cs="宋体"/>
          <w:color w:val="4F4F4F"/>
          <w:kern w:val="0"/>
          <w:szCs w:val="21"/>
        </w:rPr>
        <w:t>概算审批部门审核。</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财政性资金投资项目工程量清单、招标控制价和工程竣工结算由财政部门或者财政部门委托有资质的建设工程造价咨询企业编制和审查。未经审查的，不得作为工程价款结算的依据。</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第十七条  投标报价不得低于省住房和城乡建设行政主管部门公布的当期建筑工程质量安全成本价格，也不得高于招标控制价。</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第十八条  依法招标的建设工程应当根据工程计价依据编制标书。</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第十九条  下列支出不得作为招标投标的竞争性费用：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（一）安全防护、文明施工措施支出；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（二）工程排污支出；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（三）养老保险支出；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（四）失业保险支出；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（五）医疗保险支出；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（六）住房公积金；</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（七）生育保险支出；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（八）危险作业意外伤害支出；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（九）工伤保险支出；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（十）税金；</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（十一）国家和本省规定的其他支出。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第二十条  建设工程发包人、承包人在施工合同中应当对以下与工程造价有关的事项</w:t>
      </w:r>
      <w:proofErr w:type="gramStart"/>
      <w:r w:rsidRPr="0045346F">
        <w:rPr>
          <w:rFonts w:ascii="宋体" w:eastAsia="宋体" w:hAnsi="宋体" w:cs="宋体"/>
          <w:color w:val="4F4F4F"/>
          <w:kern w:val="0"/>
          <w:szCs w:val="21"/>
        </w:rPr>
        <w:t>作出</w:t>
      </w:r>
      <w:proofErr w:type="gramEnd"/>
      <w:r w:rsidRPr="0045346F">
        <w:rPr>
          <w:rFonts w:ascii="宋体" w:eastAsia="宋体" w:hAnsi="宋体" w:cs="宋体"/>
          <w:color w:val="4F4F4F"/>
          <w:kern w:val="0"/>
          <w:szCs w:val="21"/>
        </w:rPr>
        <w:t>约定：</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（一）承包范围、质量标准及合同价款；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（二）预付工程款的数额、支付时间及抵扣方式；</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（三）工程计量与支付工程进度款的方式、数额及时间；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（四）工程价款的调整因素、方法、程序、支付方式及时间；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（五）索赔与现场签证的程序、金额确认与支付时间；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（六）承担风险的内容、范围以及超出约定内容、范围的调整办法；</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（七）工程竣工价款结算编制与核对、支付方式及时间；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（八）发生工程价款争议的解决方法及时间；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（九）工程质量安全成本保证金及工程质量保证（保修）金的数额、预</w:t>
      </w:r>
      <w:proofErr w:type="gramStart"/>
      <w:r w:rsidRPr="0045346F">
        <w:rPr>
          <w:rFonts w:ascii="宋体" w:eastAsia="宋体" w:hAnsi="宋体" w:cs="宋体"/>
          <w:color w:val="4F4F4F"/>
          <w:kern w:val="0"/>
          <w:szCs w:val="21"/>
        </w:rPr>
        <w:t>扣方式</w:t>
      </w:r>
      <w:proofErr w:type="gramEnd"/>
      <w:r w:rsidRPr="0045346F">
        <w:rPr>
          <w:rFonts w:ascii="宋体" w:eastAsia="宋体" w:hAnsi="宋体" w:cs="宋体"/>
          <w:color w:val="4F4F4F"/>
          <w:kern w:val="0"/>
          <w:szCs w:val="21"/>
        </w:rPr>
        <w:t>及时间；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（十）工期调整的要求；</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（十一）与支付价款有关的其他事项。</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第二十一条  施工中工程价款确需调整的，承包人应当在合同约定调整情况发生后14日内，将调整原因、金额以书面形式通知发包人，发包人确认调整金额后将其作为追加合同条款，与工程进度款同期支付。发包人收到承包人书面通知后在14日内不予确认也不提出修改意见，视为同意该调整。发包人也可以在合同约定调整情况发生后14日内，决定调整工程价款，并书面通知承包人，承包人收到书面通知后在14日内不予确认也不提出修改意见，视为同意该调整。</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第二十二条  实行预付工程款和支付工程进度款制度。</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第二十三条  预付工程款应当符合以下规定：</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（一）包工包料工程的预付工程款按合同约定拨付，原则上预付比例不低于</w:t>
      </w:r>
      <w:proofErr w:type="gramStart"/>
      <w:r w:rsidRPr="0045346F">
        <w:rPr>
          <w:rFonts w:ascii="宋体" w:eastAsia="宋体" w:hAnsi="宋体" w:cs="宋体"/>
          <w:color w:val="4F4F4F"/>
          <w:kern w:val="0"/>
          <w:szCs w:val="21"/>
        </w:rPr>
        <w:t>签定</w:t>
      </w:r>
      <w:proofErr w:type="gramEnd"/>
      <w:r w:rsidRPr="0045346F">
        <w:rPr>
          <w:rFonts w:ascii="宋体" w:eastAsia="宋体" w:hAnsi="宋体" w:cs="宋体"/>
          <w:color w:val="4F4F4F"/>
          <w:kern w:val="0"/>
          <w:szCs w:val="21"/>
        </w:rPr>
        <w:t>合同价的10%，不高于</w:t>
      </w:r>
      <w:proofErr w:type="gramStart"/>
      <w:r w:rsidRPr="0045346F">
        <w:rPr>
          <w:rFonts w:ascii="宋体" w:eastAsia="宋体" w:hAnsi="宋体" w:cs="宋体"/>
          <w:color w:val="4F4F4F"/>
          <w:kern w:val="0"/>
          <w:szCs w:val="21"/>
        </w:rPr>
        <w:t>签定</w:t>
      </w:r>
      <w:proofErr w:type="gramEnd"/>
      <w:r w:rsidRPr="0045346F">
        <w:rPr>
          <w:rFonts w:ascii="宋体" w:eastAsia="宋体" w:hAnsi="宋体" w:cs="宋体"/>
          <w:color w:val="4F4F4F"/>
          <w:kern w:val="0"/>
          <w:szCs w:val="21"/>
        </w:rPr>
        <w:t>合同价的30%；</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（二）重大工程项目，按年度工程计划预付工程款；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（三）实行工程量清单计价的，应当约定实体性消耗、非实体性消耗的预付工程款比例。</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第二十四条  支付工程进度款应当符合以下规定：</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（一）确定工程量计量结果后14日内，发包人应当按不低于工程价款80%的比例向承包人支付工程进度款；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经承包人同意并签订延期支付工程进度款协议的，按协议执行；双方未能签订延期支付协议的，按原合同执行，发包方应当按期支付工程款，如未能按期支付，发包方从违约之日起到支付日止，按银行公布的商业担保贷款同期利率双倍支付利息。</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第二十五条  全部使用国有资金投资或者以国有资金投资为主的建设工程项目，发包人不得要求承包人垫资施工。</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第二十六条  发包人、承包人应当按以下规定进行工程竣工结算：</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（一）承包人应当在规定时限内编制完成工程竣工结算文件，并递交发包人，发包人收到承包人的工程竣工结算文件，应当按照规定签收，发包人不签收的，承包人可以不交付竣工工程；</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（二）发包人收到承包人递交的工程竣工结算文件，应当在规定时限内对工程竣工结算文件进行审核，并出具工程竣工结算审核文件；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（三）承包人对发包人出具的工程竣工结算审核文件有异议的，应当提出质疑依据和详细的计算书，送发包人重新核对。发包人重新核对后应当提出明确意见；</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（四）发包人应当在确认工程竣工结算文件无异议后15日内向承包人结算工程款。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第二十七条  发包人只能委托一个建设工程造价咨询企业在规定的时间内对承包人提交的工程竣工结算文件进行审核。</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第二十八条  发包人应当按以下规定审核工程竣工结算文件：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（一）工程造价500万元（含500万元）以下的20日内做出审核结论；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（二）工程造价500万元以上2000万元（含2000万元）以下的30日内做出审核结论；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（三）工程造价2000万元以上5000万元（含5000万元）以下的45日内做出审核结论；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（四）工程造价5000万元以上的60日内做出审核结论。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第二十九条  发包人、承包人对建设工程造价计价依据理解不一致的，由建设工程所在地的建设工程造价管理机构解释。</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第三十条  工程竣工结算后，发包人应当将工程竣工结算文件报工程项目所在地建设工程造价管理机构备案。</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color w:val="4F4F4F"/>
          <w:kern w:val="0"/>
          <w:szCs w:val="21"/>
        </w:rPr>
      </w:pPr>
      <w:r w:rsidRPr="0045346F">
        <w:rPr>
          <w:rFonts w:ascii="宋体" w:eastAsia="宋体" w:hAnsi="宋体" w:cs="宋体"/>
          <w:color w:val="4F4F4F"/>
          <w:kern w:val="0"/>
          <w:szCs w:val="21"/>
        </w:rPr>
        <w:t xml:space="preserve">　　</w:t>
      </w:r>
      <w:r w:rsidRPr="0045346F">
        <w:rPr>
          <w:rFonts w:ascii="宋体" w:eastAsia="宋体" w:hAnsi="宋体" w:cs="宋体" w:hint="eastAsia"/>
          <w:b/>
          <w:bCs/>
          <w:color w:val="4F4F4F"/>
          <w:kern w:val="0"/>
        </w:rPr>
        <w:t>第四章  监督管理</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第三十一条  县级以上住房和城乡建设行政主管部门依法对建设工程造价咨询企业执业行为进行监督检查，对其资质实施动态管理。</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执行国务院规定专业工程造价咨询的，由相关行政管理部门按国家规定进行管理。</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第三十二条  建设工程造价咨询企业应当依法取得工程造价咨询资质证书，并在其资质等级许可的范围内接受委托从事工程造价咨询活动。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建设工程造价专业人员，应当依法取得执业资格，并在一个单位注册从事建设工程造价活动。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第三十三条  建设工程造价咨询企业及其造价专业人员应当严格执行工程建设标准、规范和造价依据，真实准确地出具工程造价成果文件。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建设工程造价咨询企业应当在其咨询成果文件上加盖具有企业名称、资质等级、证书编号的印章，并由执行咨询业务的造价工程师签字、加盖执业印章。</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第三十四条  建设工程造价咨询企业承接建设工程造价咨询业务，应当签订书面合同，并报建设工程造价管理机构备案。</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第三十五条  省外建设工程造价咨询企业在我省从事建设工程造价咨询业务的，应当自承接业务之日起30日内持资质证书、营业执照等有关证件到省建设工程造价管理机构备案。</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第三十六条  建设工程造价咨询企业不得有下列行为：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（一）提供虚假材料骗取企业资质；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（二）伪造、涂改、倒卖、出租、出借资质证书，或者以其他形式非法转让资质证书；</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（三）转让承接的建设工程造价咨询业务；</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（四）进行不正当竞争；</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（五）不按国家或本省规定的计价依据、办法计价；</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（六）无资质或者超越资质等级许可的业务范围承接建设工程造价咨询业务；</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（七）同时接受招标人、投标人，或者两个以上投标人对同一工程项目的建设工程造价咨询业务委托；</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（八）超越合同越权执业；</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（九）出具虚假报告；</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（十）法律、法规、规章禁止的其他行为。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第三十七条  建设工程造价咨询业务人员不得有下列行为：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（一）用欺骗手段取得执业资格；</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（二）超出聘用单位业务范围从事执业活动；</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（三）执业过程中实施商业贿赂；</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（四）未经注册从事建设工程造价咨询业务；</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（五）同时在两个以上单位注册；</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（六）涂改、倒卖、出租、出借，或者以其他形式非法转让注册证书或者执业印章；</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（七）以个人名义承接建设工程造价咨询业务；</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（八）允许他人以自己名义从事建设工程造价咨询业务；</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（九）出具虚假建设工程造价咨询业务成果文件；</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（十）法律、法规、规章禁止的其他行为。</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第三十八条  建设工程造价咨询企业分支机构不得以分支机构名义承接建设工程造价咨询业务。</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第三十九条  发包人或者承包人对建设工程造价咨询企业出具的成果文件有异议的，由省住房和城乡建设行政主管部门组织专家对成果文件进行鉴定，经鉴定，成果文件符合建设工程造价规定的，发包人、承包人应当执行；不符合建设工程造价规定的，发包人、承包人应当以鉴定结论作为建设工程造价活动的依据。</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第四十条  建立健全建设工程造价咨询企业及业务人员信用档案。由住房和城乡建设行政主管部门按照国家有关规定对其诚信行为定期考核、评价，并向社会公布。</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color w:val="4F4F4F"/>
          <w:kern w:val="0"/>
          <w:szCs w:val="21"/>
        </w:rPr>
      </w:pPr>
      <w:r w:rsidRPr="0045346F">
        <w:rPr>
          <w:rFonts w:ascii="宋体" w:eastAsia="宋体" w:hAnsi="宋体" w:cs="宋体"/>
          <w:color w:val="4F4F4F"/>
          <w:kern w:val="0"/>
          <w:szCs w:val="21"/>
        </w:rPr>
        <w:t xml:space="preserve">　　</w:t>
      </w:r>
      <w:r w:rsidRPr="0045346F">
        <w:rPr>
          <w:rFonts w:ascii="宋体" w:eastAsia="宋体" w:hAnsi="宋体" w:cs="宋体" w:hint="eastAsia"/>
          <w:b/>
          <w:bCs/>
          <w:color w:val="4F4F4F"/>
          <w:kern w:val="0"/>
        </w:rPr>
        <w:t>第五章  法律责任</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第四十一条  发包人有下列行为之一的，由县级以上住房和城乡建设行政主管部门责令改正，逾期不改正的，处以1万元以上3万元以下罚款：</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（一）应当实行工程量清单计价方式招标未实行的；</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（二）未公布招标控制价的；</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（三）未执行建筑工程质量安全成本的；</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lastRenderedPageBreak/>
        <w:t xml:space="preserve">　　（四）未按约定时间办理建设工程结算的；</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（五）无编制招标控制</w:t>
      </w:r>
      <w:proofErr w:type="gramStart"/>
      <w:r w:rsidRPr="0045346F">
        <w:rPr>
          <w:rFonts w:ascii="宋体" w:eastAsia="宋体" w:hAnsi="宋体" w:cs="宋体"/>
          <w:color w:val="4F4F4F"/>
          <w:kern w:val="0"/>
          <w:szCs w:val="21"/>
        </w:rPr>
        <w:t>价能力</w:t>
      </w:r>
      <w:proofErr w:type="gramEnd"/>
      <w:r w:rsidRPr="0045346F">
        <w:rPr>
          <w:rFonts w:ascii="宋体" w:eastAsia="宋体" w:hAnsi="宋体" w:cs="宋体"/>
          <w:color w:val="4F4F4F"/>
          <w:kern w:val="0"/>
          <w:szCs w:val="21"/>
        </w:rPr>
        <w:t>编制招标控制价的；</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（六）委托不具有相应资质的建设工程造价咨询企业编制招标控制价的。</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第四十二条  建设工程造价咨询企业、从事建设工程造价咨询业务的专业人员存在本办法第三十六条、第三十七条规定禁止行为的，由县级以上住房和城乡建设行政主管部门按有关法律、法规的规定处罚。</w:t>
      </w:r>
    </w:p>
    <w:p w:rsidR="0045346F" w:rsidRPr="0045346F" w:rsidRDefault="0045346F" w:rsidP="0045346F">
      <w:pPr>
        <w:widowControl/>
        <w:wordWrap w:val="0"/>
        <w:snapToGrid w:val="0"/>
        <w:spacing w:before="100" w:beforeAutospacing="1" w:after="100" w:afterAutospacing="1" w:line="432" w:lineRule="auto"/>
        <w:jc w:val="center"/>
        <w:rPr>
          <w:rFonts w:ascii="宋体" w:eastAsia="宋体" w:hAnsi="宋体" w:cs="宋体"/>
          <w:color w:val="4F4F4F"/>
          <w:kern w:val="0"/>
          <w:szCs w:val="21"/>
        </w:rPr>
      </w:pPr>
      <w:r w:rsidRPr="0045346F">
        <w:rPr>
          <w:rFonts w:ascii="宋体" w:eastAsia="宋体" w:hAnsi="宋体" w:cs="宋体"/>
          <w:color w:val="4F4F4F"/>
          <w:kern w:val="0"/>
          <w:szCs w:val="21"/>
        </w:rPr>
        <w:t xml:space="preserve">　　</w:t>
      </w:r>
      <w:r w:rsidRPr="0045346F">
        <w:rPr>
          <w:rFonts w:ascii="宋体" w:eastAsia="宋体" w:hAnsi="宋体" w:cs="宋体" w:hint="eastAsia"/>
          <w:b/>
          <w:bCs/>
          <w:color w:val="4F4F4F"/>
          <w:kern w:val="0"/>
        </w:rPr>
        <w:t>第六章  附  则</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第四十三条  本办法所称从事建设工程造价咨询业务的专业人员，指注册造价工程师、全国造价员。</w:t>
      </w:r>
    </w:p>
    <w:p w:rsidR="0045346F" w:rsidRPr="0045346F" w:rsidRDefault="0045346F" w:rsidP="0045346F">
      <w:pPr>
        <w:widowControl/>
        <w:wordWrap w:val="0"/>
        <w:snapToGrid w:val="0"/>
        <w:spacing w:before="100" w:beforeAutospacing="1" w:after="100" w:afterAutospacing="1" w:line="432" w:lineRule="auto"/>
        <w:jc w:val="left"/>
        <w:rPr>
          <w:rFonts w:ascii="宋体" w:eastAsia="宋体" w:hAnsi="宋体" w:cs="宋体"/>
          <w:color w:val="4F4F4F"/>
          <w:kern w:val="0"/>
          <w:szCs w:val="21"/>
        </w:rPr>
      </w:pPr>
      <w:r w:rsidRPr="0045346F">
        <w:rPr>
          <w:rFonts w:ascii="宋体" w:eastAsia="宋体" w:hAnsi="宋体" w:cs="宋体"/>
          <w:color w:val="4F4F4F"/>
          <w:kern w:val="0"/>
          <w:szCs w:val="21"/>
        </w:rPr>
        <w:t xml:space="preserve">　　第四十四条  本办法自公布之日起施行。</w:t>
      </w:r>
    </w:p>
    <w:p w:rsidR="00D91812" w:rsidRPr="0045346F" w:rsidRDefault="00D91812">
      <w:pPr>
        <w:rPr>
          <w:rFonts w:hint="eastAsia"/>
        </w:rPr>
      </w:pPr>
    </w:p>
    <w:sectPr w:rsidR="00D91812" w:rsidRPr="0045346F"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5346F"/>
    <w:rsid w:val="0045346F"/>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5346F"/>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45346F"/>
    <w:rPr>
      <w:b/>
      <w:bCs/>
    </w:rPr>
  </w:style>
</w:styles>
</file>

<file path=word/webSettings.xml><?xml version="1.0" encoding="utf-8"?>
<w:webSettings xmlns:r="http://schemas.openxmlformats.org/officeDocument/2006/relationships" xmlns:w="http://schemas.openxmlformats.org/wordprocessingml/2006/main">
  <w:divs>
    <w:div w:id="1532305339">
      <w:bodyDiv w:val="1"/>
      <w:marLeft w:val="0"/>
      <w:marRight w:val="0"/>
      <w:marTop w:val="0"/>
      <w:marBottom w:val="0"/>
      <w:divBdr>
        <w:top w:val="none" w:sz="0" w:space="0" w:color="auto"/>
        <w:left w:val="none" w:sz="0" w:space="0" w:color="auto"/>
        <w:bottom w:val="none" w:sz="0" w:space="0" w:color="auto"/>
        <w:right w:val="none" w:sz="0" w:space="0" w:color="auto"/>
      </w:divBdr>
      <w:divsChild>
        <w:div w:id="1063335872">
          <w:marLeft w:val="0"/>
          <w:marRight w:val="0"/>
          <w:marTop w:val="0"/>
          <w:marBottom w:val="0"/>
          <w:divBdr>
            <w:top w:val="none" w:sz="0" w:space="0" w:color="auto"/>
            <w:left w:val="none" w:sz="0" w:space="0" w:color="auto"/>
            <w:bottom w:val="none" w:sz="0" w:space="0" w:color="auto"/>
            <w:right w:val="none" w:sz="0" w:space="0" w:color="auto"/>
          </w:divBdr>
          <w:divsChild>
            <w:div w:id="393937188">
              <w:marLeft w:val="0"/>
              <w:marRight w:val="0"/>
              <w:marTop w:val="0"/>
              <w:marBottom w:val="0"/>
              <w:divBdr>
                <w:top w:val="none" w:sz="0" w:space="0" w:color="auto"/>
                <w:left w:val="none" w:sz="0" w:space="0" w:color="auto"/>
                <w:bottom w:val="none" w:sz="0" w:space="0" w:color="auto"/>
                <w:right w:val="none" w:sz="0" w:space="0" w:color="auto"/>
              </w:divBdr>
              <w:divsChild>
                <w:div w:id="1860267492">
                  <w:marLeft w:val="0"/>
                  <w:marRight w:val="0"/>
                  <w:marTop w:val="0"/>
                  <w:marBottom w:val="0"/>
                  <w:divBdr>
                    <w:top w:val="none" w:sz="0" w:space="0" w:color="auto"/>
                    <w:left w:val="none" w:sz="0" w:space="0" w:color="auto"/>
                    <w:bottom w:val="none" w:sz="0" w:space="0" w:color="auto"/>
                    <w:right w:val="none" w:sz="0" w:space="0" w:color="auto"/>
                  </w:divBdr>
                </w:div>
                <w:div w:id="1214150755">
                  <w:marLeft w:val="0"/>
                  <w:marRight w:val="0"/>
                  <w:marTop w:val="0"/>
                  <w:marBottom w:val="0"/>
                  <w:divBdr>
                    <w:top w:val="single" w:sz="6" w:space="0" w:color="ECC197"/>
                    <w:left w:val="single" w:sz="6" w:space="0" w:color="ECC197"/>
                    <w:bottom w:val="single" w:sz="6" w:space="30" w:color="ECC197"/>
                    <w:right w:val="single" w:sz="6" w:space="0" w:color="ECC197"/>
                  </w:divBdr>
                  <w:divsChild>
                    <w:div w:id="1936012871">
                      <w:marLeft w:val="0"/>
                      <w:marRight w:val="0"/>
                      <w:marTop w:val="0"/>
                      <w:marBottom w:val="0"/>
                      <w:divBdr>
                        <w:top w:val="none" w:sz="0" w:space="0" w:color="auto"/>
                        <w:left w:val="none" w:sz="0" w:space="0" w:color="auto"/>
                        <w:bottom w:val="none" w:sz="0" w:space="0" w:color="auto"/>
                        <w:right w:val="none" w:sz="0" w:space="0" w:color="auto"/>
                      </w:divBdr>
                      <w:divsChild>
                        <w:div w:id="182395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881</Words>
  <Characters>5024</Characters>
  <Application>Microsoft Office Word</Application>
  <DocSecurity>0</DocSecurity>
  <Lines>41</Lines>
  <Paragraphs>11</Paragraphs>
  <ScaleCrop>false</ScaleCrop>
  <Company>微软中国</Company>
  <LinksUpToDate>false</LinksUpToDate>
  <CharactersWithSpaces>5894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2013-04-07T05:40:00Z</dcterms:created>
  <dcterms:modified xsi:type="dcterms:W3CDTF">2013-04-07T05:41:00Z</dcterms:modified>
</cp:coreProperties>
</file>