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85" w:rsidRPr="00EF6585" w:rsidRDefault="00EF6585" w:rsidP="00EF6585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EF6585">
        <w:rPr>
          <w:rFonts w:ascii="黑体" w:eastAsia="黑体" w:hAnsiTheme="minorEastAsia" w:hint="eastAsia"/>
          <w:sz w:val="36"/>
          <w:szCs w:val="36"/>
        </w:rPr>
        <w:t>城市轨道交通工程专业承包企业资质等级标准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城市轨道交通工程专业承包企业资质不分等级。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资质标准：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1、近5年累计修建地铁、轻轨等城市轨道交通工程5公里以上，工程质量合格。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2、企业经理具有l0年以上从事工程管理工作经历；总工程师具有l 5年以上从事施工技术管理工作经历并具有相关专业高级职称；总会计师具有中级以上会计职称。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企业有职称的工程技术和经济管理人员不少于300人，其中工程技术人员不少于200人；工程技术人员中，具有高级职称的人员不少于10人，具有中级职称的人员不少于60人。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企业具有的一级资质项目经理不少于15人。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3、企业注册资本金l亿元以上，企业净资产1.2亿元以上。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EF658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F6585">
        <w:rPr>
          <w:rFonts w:asciiTheme="minorEastAsia" w:hAnsiTheme="minorEastAsia"/>
          <w:sz w:val="24"/>
          <w:szCs w:val="24"/>
        </w:rPr>
        <w:t>结算收入5亿元以上。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承包工程范围：</w:t>
      </w:r>
    </w:p>
    <w:p w:rsidR="00EF6585" w:rsidRPr="00EF6585" w:rsidRDefault="00EF6585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F6585">
        <w:rPr>
          <w:rFonts w:asciiTheme="minorEastAsia" w:hAnsiTheme="minorEastAsia"/>
          <w:sz w:val="24"/>
          <w:szCs w:val="24"/>
        </w:rPr>
        <w:t>可承担城市地铁、轻轨等轨道交通工程的施工。</w:t>
      </w:r>
    </w:p>
    <w:p w:rsidR="007027CA" w:rsidRPr="00EF6585" w:rsidRDefault="007027CA" w:rsidP="00EF658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EF6585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585"/>
    <w:rsid w:val="007027CA"/>
    <w:rsid w:val="00EF6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EF65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8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微软中国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2013-04-07T01:48:00Z</dcterms:created>
  <dcterms:modified xsi:type="dcterms:W3CDTF">2013-04-07T01:48:00Z</dcterms:modified>
</cp:coreProperties>
</file>