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2AA3" w:rsidRPr="008A2AA3" w:rsidRDefault="008A2AA3" w:rsidP="008A2AA3">
      <w:pPr>
        <w:spacing w:line="360" w:lineRule="auto"/>
        <w:ind w:firstLineChars="200" w:firstLine="720"/>
        <w:rPr>
          <w:rFonts w:ascii="黑体" w:eastAsia="黑体" w:hAnsiTheme="minorEastAsia" w:hint="eastAsia"/>
          <w:sz w:val="36"/>
          <w:szCs w:val="36"/>
        </w:rPr>
      </w:pPr>
      <w:r w:rsidRPr="008A2AA3">
        <w:rPr>
          <w:rFonts w:ascii="黑体" w:eastAsia="黑体" w:hAnsiTheme="minorEastAsia" w:hint="eastAsia"/>
          <w:sz w:val="36"/>
          <w:szCs w:val="36"/>
        </w:rPr>
        <w:t>市政公用工程施工总承包企业资质等级标准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市政公用工程施工总承包企业资质分为一级、二级、三级。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一级资质标准：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1、企业近5年承担过下列4项中的2项以上单项合同额3000万元以上的市政公用工程施工总承包或主体工程承包，工程质量合格。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（1）城市道路、桥梁、隧道、公共广场工程；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（2）城市供水工程、排水工程或污水处理工程；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（3）城市燃气工程或热力工程；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（4）城市生活垃圾处理工程。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2、企业经理具有10年以上从事工程管理工作经历或具有高级职称；总工程师具有10年以上从事施工技术管理工作经历并具有本专业高级职称；总会计师具有高级会计职称；总经济师具有高级职称。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企业有职称的工程技术和经济管理人员不少于240人，其中工程技术人员不少于150人；工程技术人员中，具有高级职称的人员不少于10人，具有中级职称的人员不少于40人。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企业具有的一级资质项目经理不少于12人。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3、企业注册资本金4000万元以上，企业净资产5000万元以上。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8A2AA3">
        <w:rPr>
          <w:rFonts w:asciiTheme="minorEastAsia" w:hAnsiTheme="minorEastAsia"/>
          <w:sz w:val="24"/>
          <w:szCs w:val="24"/>
        </w:rPr>
        <w:t>年工程</w:t>
      </w:r>
      <w:proofErr w:type="gramEnd"/>
      <w:r w:rsidRPr="008A2AA3">
        <w:rPr>
          <w:rFonts w:asciiTheme="minorEastAsia" w:hAnsiTheme="minorEastAsia"/>
          <w:sz w:val="24"/>
          <w:szCs w:val="24"/>
        </w:rPr>
        <w:t>结算收入1.6亿元以上。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二级资质标准：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1、企业近；</w:t>
      </w:r>
      <w:proofErr w:type="gramStart"/>
      <w:r w:rsidRPr="008A2AA3">
        <w:rPr>
          <w:rFonts w:asciiTheme="minorEastAsia" w:hAnsiTheme="minorEastAsia"/>
          <w:sz w:val="24"/>
          <w:szCs w:val="24"/>
        </w:rPr>
        <w:t>年承担</w:t>
      </w:r>
      <w:proofErr w:type="gramEnd"/>
      <w:r w:rsidRPr="008A2AA3">
        <w:rPr>
          <w:rFonts w:asciiTheme="minorEastAsia" w:hAnsiTheme="minorEastAsia"/>
          <w:sz w:val="24"/>
          <w:szCs w:val="24"/>
        </w:rPr>
        <w:t>过下列4项中的2项以上单项合同额1000万元以上的市政公用工程施工总承包或主体工程承包，工程质量合格。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（1）城市道路、桥梁、隧道、公共广场工程；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（2）城市供水工程、排水工程或污水处理工程；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（3）城市燃气工程或热力工程；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（4）城市生活垃圾处理工程。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2、企业经理具有8年以上从事工程管理工作经历或具有中级以上职称；技术负责人具有8年以上从事施工技术管理工作经历并具有本专业高级职称；财务负责人具有中级以上会计职称。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lastRenderedPageBreak/>
        <w:t>企业有职称的工程技术和经济管理人员不少于100人，其中工程技术人员不少于60人；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工程技术人员中，具有高级职称的人员不少于4人，具有中级职称的人员不少于20人。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企业具有的二级资质以上项目经理不少于10人。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3、企业注册资本金2000万元以上，企业净资产2500万元以上。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8A2AA3">
        <w:rPr>
          <w:rFonts w:asciiTheme="minorEastAsia" w:hAnsiTheme="minorEastAsia"/>
          <w:sz w:val="24"/>
          <w:szCs w:val="24"/>
        </w:rPr>
        <w:t>年工程</w:t>
      </w:r>
      <w:proofErr w:type="gramEnd"/>
      <w:r w:rsidRPr="008A2AA3">
        <w:rPr>
          <w:rFonts w:asciiTheme="minorEastAsia" w:hAnsiTheme="minorEastAsia"/>
          <w:sz w:val="24"/>
          <w:szCs w:val="24"/>
        </w:rPr>
        <w:t>结算收入6000万元以上。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三级资质标准：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1、企业近5年承担过下列4项中的2项以上单项合同额300万元以上的市政公用工程施工总承包或主体工程承包，工程质量合格。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（1）城市道路、桥梁、隧道、公共广场工程；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（2）城市供水工程、排水工程或污水处理工程；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（3）城市燃气工程或热力工程；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（4）城市生活垃圾处理工程。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2、企业经理具有5年以上从事工程管理工作经历；技术负责人具有5年以上从事施工技术管理工作经历并具有本专业中级以上职称；财务负责人具有初级以上会计职称。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企业有职称的工程技术和经济管理人员不少于50人，其中工程技术人员不少于30人；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工程技术人员中，具有中级以上职称的人员不少于8人。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企业具有的三级资质以上项目经理不少于8人。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3、企业注册资本金500万元以上，企业净资产600万元以上。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8A2AA3">
        <w:rPr>
          <w:rFonts w:asciiTheme="minorEastAsia" w:hAnsiTheme="minorEastAsia"/>
          <w:sz w:val="24"/>
          <w:szCs w:val="24"/>
        </w:rPr>
        <w:t>年工程</w:t>
      </w:r>
      <w:proofErr w:type="gramEnd"/>
      <w:r w:rsidRPr="008A2AA3">
        <w:rPr>
          <w:rFonts w:asciiTheme="minorEastAsia" w:hAnsiTheme="minorEastAsia"/>
          <w:sz w:val="24"/>
          <w:szCs w:val="24"/>
        </w:rPr>
        <w:t>结算收入1000万元以上。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承包工程范围：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一级企业：可承担各类市政公用工程的施工。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二级企业：可承担单项合同额不超过企业注册资本金5倍的下列市政公用工程的施工：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lastRenderedPageBreak/>
        <w:t>1、城市道路工程；单</w:t>
      </w:r>
      <w:proofErr w:type="gramStart"/>
      <w:r w:rsidRPr="008A2AA3">
        <w:rPr>
          <w:rFonts w:asciiTheme="minorEastAsia" w:hAnsiTheme="minorEastAsia"/>
          <w:sz w:val="24"/>
          <w:szCs w:val="24"/>
        </w:rPr>
        <w:t>跨</w:t>
      </w:r>
      <w:proofErr w:type="gramEnd"/>
      <w:r w:rsidRPr="008A2AA3">
        <w:rPr>
          <w:rFonts w:asciiTheme="minorEastAsia" w:hAnsiTheme="minorEastAsia"/>
          <w:sz w:val="24"/>
          <w:szCs w:val="24"/>
        </w:rPr>
        <w:t>跨度40米以内桥梁工程；断面20平方米及以下隧道工程；公共广场工程；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2、10万吨／日及以下给水厂；5万吨／日及以下污水处理工程；3立方米／秒及以下给水、污水泵站；15立方米／秒及以下雨水泵站；各类给排水管道工程；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3、总贮存容积1000立方米及以下液化气贮罐场（站）；供气规模15万立方米／日燃气工程；中压及以下燃气管道、调压站；供热面积150万平方米热力工程；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4、各类城市生活垃圾处理工程。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三级企业：可承担单项合同额不超过企业注册资本金5倍的下列市政公用工程的施工：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1、城市道路工程（不含快速路）；单</w:t>
      </w:r>
      <w:proofErr w:type="gramStart"/>
      <w:r w:rsidRPr="008A2AA3">
        <w:rPr>
          <w:rFonts w:asciiTheme="minorEastAsia" w:hAnsiTheme="minorEastAsia"/>
          <w:sz w:val="24"/>
          <w:szCs w:val="24"/>
        </w:rPr>
        <w:t>跨</w:t>
      </w:r>
      <w:proofErr w:type="gramEnd"/>
      <w:r w:rsidRPr="008A2AA3">
        <w:rPr>
          <w:rFonts w:asciiTheme="minorEastAsia" w:hAnsiTheme="minorEastAsia"/>
          <w:sz w:val="24"/>
          <w:szCs w:val="24"/>
        </w:rPr>
        <w:t>跨度20米以内桥梁工程；公共广场工程；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2、2万吨／日及以下给水厂；1万吨／日及以下污水处理工程；1立方米／秒及以下给水、污水泵站；5立方米／秒及以下雨水泵站；直径1米以内供水管道；直径1．5米以内污水管道；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3、总贮存容积500立方米及以下液化气贮罐场（站）；供气规模5万立方米／日燃气工程；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2公斤／平方厘米及以下中压、低压燃气管道、调压站；供热面积50万平方米及以下热力工程；直径0．2米以内热力管道；</w:t>
      </w:r>
    </w:p>
    <w:p w:rsidR="008A2AA3" w:rsidRPr="008A2AA3" w:rsidRDefault="008A2AA3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A2AA3">
        <w:rPr>
          <w:rFonts w:asciiTheme="minorEastAsia" w:hAnsiTheme="minorEastAsia"/>
          <w:sz w:val="24"/>
          <w:szCs w:val="24"/>
        </w:rPr>
        <w:t>4、生活垃圾转运站。</w:t>
      </w:r>
    </w:p>
    <w:p w:rsidR="00FD306C" w:rsidRPr="008A2AA3" w:rsidRDefault="00FD306C" w:rsidP="008A2AA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8A2AA3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A2AA3"/>
    <w:rsid w:val="008A2AA3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8A2AA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276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274</Words>
  <Characters>1567</Characters>
  <Application>Microsoft Office Word</Application>
  <DocSecurity>0</DocSecurity>
  <Lines>13</Lines>
  <Paragraphs>3</Paragraphs>
  <ScaleCrop>false</ScaleCrop>
  <Company>微软中国</Company>
  <LinksUpToDate>false</LinksUpToDate>
  <CharactersWithSpaces>1838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2013-04-02T07:38:00Z</dcterms:created>
  <dcterms:modified xsi:type="dcterms:W3CDTF">2013-04-02T07:39:00Z</dcterms:modified>
</cp:coreProperties>
</file>