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B03" w:rsidRPr="001B7B03" w:rsidRDefault="001B7B03" w:rsidP="001B7B03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1B7B03">
        <w:rPr>
          <w:rFonts w:ascii="黑体" w:eastAsia="黑体" w:hAnsiTheme="minorEastAsia" w:hint="eastAsia"/>
          <w:sz w:val="36"/>
          <w:szCs w:val="36"/>
        </w:rPr>
        <w:t>核工程专业承包企业资质等级标准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核工程专业承包企业资质分为一级、二级。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一级资质标准：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1、企业近；</w:t>
      </w:r>
      <w:proofErr w:type="gramStart"/>
      <w:r w:rsidRPr="001B7B03">
        <w:rPr>
          <w:rFonts w:asciiTheme="minorEastAsia" w:hAnsiTheme="minorEastAsia"/>
          <w:sz w:val="24"/>
          <w:szCs w:val="24"/>
        </w:rPr>
        <w:t>年承担</w:t>
      </w:r>
      <w:proofErr w:type="gramEnd"/>
      <w:r w:rsidRPr="001B7B03">
        <w:rPr>
          <w:rFonts w:asciiTheme="minorEastAsia" w:hAnsiTheme="minorEastAsia"/>
          <w:sz w:val="24"/>
          <w:szCs w:val="24"/>
        </w:rPr>
        <w:t>过1项以上工程造价1亿元以上的核反应堆、核电站（核岛部分）、放射性化工、核燃料元件、核同位素分离、铀冶金等核工程及核工业国防工程的主体工程施工，工程质量合格。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2、企业经理具有10年以上从事工程管理工作经历或具有高级职称；总工程师具有10年以上从事核工程施工技术管理工作经历并具有本专业高级职称；总会计师具有高级会计职称。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企业有职称的工程技术和经济管理人员不少于200人，其中工程技术人员不少于150人；工程技术人员中，具有中级以上职称的人员不少于50人。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企业具有的一级资质项目经理不少于10人。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3、企业注册资本金2000万元以上，企业净资产2400万元以上。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4、企业近3年中最高</w:t>
      </w:r>
      <w:proofErr w:type="gramStart"/>
      <w:r w:rsidRPr="001B7B03">
        <w:rPr>
          <w:rFonts w:asciiTheme="minorEastAsia" w:hAnsiTheme="minorEastAsia"/>
          <w:sz w:val="24"/>
          <w:szCs w:val="24"/>
        </w:rPr>
        <w:t>年工程</w:t>
      </w:r>
      <w:proofErr w:type="gramEnd"/>
      <w:r w:rsidRPr="001B7B03">
        <w:rPr>
          <w:rFonts w:asciiTheme="minorEastAsia" w:hAnsiTheme="minorEastAsia"/>
          <w:sz w:val="24"/>
          <w:szCs w:val="24"/>
        </w:rPr>
        <w:t>结算收入1亿元以上。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二级资质标准：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1、企业近5年承担过1项以上工程造价5000万元以上的核反应堆、放射性化工、核燃料元件、核同位素分离、铀冶金等核工程及核工业国防工程的主体工程施工，工程质量合格。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2、企业经理具有6年以上从事施工管理工作经历或具有中级以上职称；技术负责人具有本专业中级以上职称；财务负责人具有中级以上会计职称。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企业有职称的工程技术和经济管理人员不少于l00人，其中工程技术人员不少于70人；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工程技术人员中，具有中级以上职称的人员不少于30人。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企业具有的二级资质以上项目经理不少于</w:t>
      </w:r>
      <w:proofErr w:type="spellStart"/>
      <w:r w:rsidRPr="001B7B03">
        <w:rPr>
          <w:rFonts w:asciiTheme="minorEastAsia" w:hAnsiTheme="minorEastAsia"/>
          <w:sz w:val="24"/>
          <w:szCs w:val="24"/>
        </w:rPr>
        <w:t>lO</w:t>
      </w:r>
      <w:proofErr w:type="spellEnd"/>
      <w:r w:rsidRPr="001B7B03">
        <w:rPr>
          <w:rFonts w:asciiTheme="minorEastAsia" w:hAnsiTheme="minorEastAsia"/>
          <w:sz w:val="24"/>
          <w:szCs w:val="24"/>
        </w:rPr>
        <w:t>人。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3、企业注册资本金800万元以上，企业净资产l000万元以上。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4、企业近3年中最高</w:t>
      </w:r>
      <w:proofErr w:type="gramStart"/>
      <w:r w:rsidRPr="001B7B03">
        <w:rPr>
          <w:rFonts w:asciiTheme="minorEastAsia" w:hAnsiTheme="minorEastAsia"/>
          <w:sz w:val="24"/>
          <w:szCs w:val="24"/>
        </w:rPr>
        <w:t>年工程</w:t>
      </w:r>
      <w:proofErr w:type="gramEnd"/>
      <w:r w:rsidRPr="001B7B03">
        <w:rPr>
          <w:rFonts w:asciiTheme="minorEastAsia" w:hAnsiTheme="minorEastAsia"/>
          <w:sz w:val="24"/>
          <w:szCs w:val="24"/>
        </w:rPr>
        <w:t>结算收入5000万元以上。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承包工程范围：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lastRenderedPageBreak/>
        <w:t>一级企业：可承担各类核反应堆、核电站、放射性化工、核燃料元件、核同位素分离、铀冶金等核工程及核工业国防工程的施工。</w:t>
      </w:r>
    </w:p>
    <w:p w:rsidR="001B7B03" w:rsidRPr="001B7B03" w:rsidRDefault="001B7B03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B7B03">
        <w:rPr>
          <w:rFonts w:asciiTheme="minorEastAsia" w:hAnsiTheme="minorEastAsia"/>
          <w:sz w:val="24"/>
          <w:szCs w:val="24"/>
        </w:rPr>
        <w:t>二级企业：可承担工程造价1.2亿元及以下的核反应堆、放射性化工、核燃料元件、核同位素分离、轴冶金等核工程及核工业国防工程的施工。</w:t>
      </w:r>
    </w:p>
    <w:p w:rsidR="007027CA" w:rsidRPr="001B7B03" w:rsidRDefault="007027CA" w:rsidP="001B7B0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7027CA" w:rsidRPr="001B7B03" w:rsidSect="0070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7B03"/>
    <w:rsid w:val="001B7B03"/>
    <w:rsid w:val="0070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1B7B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731</Characters>
  <Application>Microsoft Office Word</Application>
  <DocSecurity>0</DocSecurity>
  <Lines>6</Lines>
  <Paragraphs>1</Paragraphs>
  <ScaleCrop>false</ScaleCrop>
  <Company>微软中国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2013-04-07T01:42:00Z</dcterms:created>
  <dcterms:modified xsi:type="dcterms:W3CDTF">2013-04-07T01:42:00Z</dcterms:modified>
</cp:coreProperties>
</file>