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74" w:rsidRPr="00161E74" w:rsidRDefault="00161E74" w:rsidP="00161E74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161E74">
        <w:rPr>
          <w:rFonts w:ascii="黑体" w:eastAsia="黑体" w:hAnsiTheme="minorEastAsia" w:hint="eastAsia"/>
          <w:sz w:val="36"/>
          <w:szCs w:val="36"/>
        </w:rPr>
        <w:t>水上交通管制工程专业承包企业资质等级标准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水上交通管制工程专业承包企业资质等级标准不分等级。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企业资质标准：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1、企业近5年承担过下列4项中的2项以上工程施工，工程质量合格。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（1）水上船舶交通管理系统工程；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（2）海上通信导航工程；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（3）内河通信导航工程；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（4）单项合同额150万元以上的水上交通管制工程。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2、企业经理具有10年以上从事工程管理工作经历或具有中级以上职称；技术负责人具有l0年以上从事工程施工技术管理工作经历并具有本专业高级职称；财务负责人具有中级以上会计职称。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企业有职称的工程技术和经济管理人员不少于60人，其中工程技术人员不少于35人；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工程技术人员中，具有高级职称的人员不少于5人，具有中级职称的人员不少于15人。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企业具有的二级资质以上项目经理不少于5人。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3、企业注册资本金800万元以上，企业净资产l000万元以上。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161E7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161E74">
        <w:rPr>
          <w:rFonts w:asciiTheme="minorEastAsia" w:hAnsiTheme="minorEastAsia"/>
          <w:sz w:val="24"/>
          <w:szCs w:val="24"/>
        </w:rPr>
        <w:t>结算收入l000万元以上。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承包工程范围：</w:t>
      </w:r>
    </w:p>
    <w:p w:rsidR="00161E74" w:rsidRPr="00161E74" w:rsidRDefault="00161E74" w:rsidP="00161E7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161E74">
        <w:rPr>
          <w:rFonts w:asciiTheme="minorEastAsia" w:hAnsiTheme="minorEastAsia"/>
          <w:sz w:val="24"/>
          <w:szCs w:val="24"/>
        </w:rPr>
        <w:t>可承担各类水上交通管制工程施工。工程内容包括水上船舶交通管理系统工程（VTS系统）、海上通信导航工程（海岸电台、甚高频电台、海事卫星通信、海上遇险与安全系统等）、内河通信导航工程（长途干线、江岸电台、甚高频电台等）等。</w:t>
      </w:r>
    </w:p>
    <w:p w:rsidR="007027CA" w:rsidRPr="00161E74" w:rsidRDefault="007027CA" w:rsidP="00161E74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sectPr w:rsidR="007027CA" w:rsidRPr="00161E74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61E74"/>
    <w:rsid w:val="00161E74"/>
    <w:rsid w:val="0070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161E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4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471</Characters>
  <Application>Microsoft Office Word</Application>
  <DocSecurity>0</DocSecurity>
  <Lines>3</Lines>
  <Paragraphs>1</Paragraphs>
  <ScaleCrop>false</ScaleCrop>
  <Company>微软中国</Company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2013-04-07T01:26:00Z</dcterms:created>
  <dcterms:modified xsi:type="dcterms:W3CDTF">2013-04-07T01:33:00Z</dcterms:modified>
</cp:coreProperties>
</file>