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74A0" w:rsidRPr="005F74A0" w:rsidRDefault="005F74A0" w:rsidP="005F74A0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5F74A0">
        <w:rPr>
          <w:rFonts w:ascii="黑体" w:eastAsia="黑体" w:hAnsiTheme="minorEastAsia" w:hint="eastAsia"/>
          <w:sz w:val="36"/>
          <w:szCs w:val="36"/>
        </w:rPr>
        <w:t>水工隧洞工程专业承包企业资质等级标准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水工隧洞工程专业承包企业资质分为一级、二级、三级。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一级资质标准：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1、企业近5年承担过下列2项中的1项以上工程施工，工程质量合格。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（1）圆形断面洞径大于8米或过流断面相当的圆拱直墙式断面的工程，长度3千米以上；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（2）水头大于100米的有压隧洞或流速大于35米／秒的明流隧洞的工程，长度1千米以上。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2、企业经理具有10年以上从事工程管理工作经历或具有高级职称；总工程师具有本专业高级职称；总会计师具有高级会计职称。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企业有职称的工程技术和经济管理人员不少于120人。其中工程技术人员不少于90人；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工程技术人员中，具有高级职称的人员不少于8人，具有中级职称的人员不少于30人。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企业具有的本专业一级资质项目经理不少于10人。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3、企业注册资本金2000万元以上，企业净资产2400万元以上。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F74A0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F74A0">
        <w:rPr>
          <w:rFonts w:asciiTheme="minorEastAsia" w:hAnsiTheme="minorEastAsia"/>
          <w:sz w:val="24"/>
          <w:szCs w:val="24"/>
        </w:rPr>
        <w:t>结算收入5000万元以上。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二级资质标准：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1、企业近5年承担过下列2项中的1项工程施工，工程质量合格。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（1）圆形断面洞径大于6米或过流断面相当的圆拱直墙式断面的工程，长度2千米以上；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（2）水头大于75米的有压隧洞或流速大于25米／秒的明流隧洞的工程，长度1千米以上。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2、企业经理具有8年以上从事工程管理工作经历或具有中级以上职称；技术负责人具有本专业高级职称；财务负责人具有中级以上会计职称。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企业有职称的工程技术和经济管理人员不少于80人，其中工程技术人员不少于50人；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工程技术人员中，具有高级职称的人员不少于4人，具有中级职称的人员不</w:t>
      </w:r>
      <w:r w:rsidRPr="005F74A0">
        <w:rPr>
          <w:rFonts w:asciiTheme="minorEastAsia" w:hAnsiTheme="minorEastAsia"/>
          <w:sz w:val="24"/>
          <w:szCs w:val="24"/>
        </w:rPr>
        <w:lastRenderedPageBreak/>
        <w:t>少于15人。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企业具有的本专业二级资质以上项目经理不少于5人。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3、企业注册资本金1000万元以上，企业净资产1200万元以上。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F74A0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F74A0">
        <w:rPr>
          <w:rFonts w:asciiTheme="minorEastAsia" w:hAnsiTheme="minorEastAsia"/>
          <w:sz w:val="24"/>
          <w:szCs w:val="24"/>
        </w:rPr>
        <w:t>结算收入2000万元以上。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三级资质标准：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1、企业近5年承担过下列2项中的1项以上工程施工，工程质量合格。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（1）圆形断面洞径大于4米或过流断面相当的因</w:t>
      </w:r>
      <w:proofErr w:type="gramStart"/>
      <w:r w:rsidRPr="005F74A0">
        <w:rPr>
          <w:rFonts w:asciiTheme="minorEastAsia" w:hAnsiTheme="minorEastAsia"/>
          <w:sz w:val="24"/>
          <w:szCs w:val="24"/>
        </w:rPr>
        <w:t>拱直培式</w:t>
      </w:r>
      <w:proofErr w:type="gramEnd"/>
      <w:r w:rsidRPr="005F74A0">
        <w:rPr>
          <w:rFonts w:asciiTheme="minorEastAsia" w:hAnsiTheme="minorEastAsia"/>
          <w:sz w:val="24"/>
          <w:szCs w:val="24"/>
        </w:rPr>
        <w:t>断面的工程，长度1．5千米以上；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（2）水头大于50米的有压隧洞或流速大于l5米／秒的明流隧洞的工程，长度800米以上。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2、企业经理具有5年以上从事工程管理工作经历或具有中级以上职称；技术负责人具有本专业中级以上职称；财务负贵人具有初级以上会计职称。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企业职称的工程技术和经济管理人员不少于30人，其中工程技术人员不少于15人；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工程技术人员中，具有中级以上职称的人员不少于5人。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F74A0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F74A0">
        <w:rPr>
          <w:rFonts w:asciiTheme="minorEastAsia" w:hAnsiTheme="minorEastAsia"/>
          <w:sz w:val="24"/>
          <w:szCs w:val="24"/>
        </w:rPr>
        <w:t>结算收入1006万元以上。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承包工程范围：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一级企业：可承担各类有压或明流隧洞工程和与其相应的进出口工程的开挖、临时和永久支护、回填与固结灌浆、金属结构件预埋等工程，以及其辅助生产设施的施工。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二级企业：可承担单项合同额不超过企业注册资本金5倍的过流断面不大于50平方米的各类有压或明流隧洞工程和与其相应的进出口工程的开挖、临时和永久文护、回填与固结灌浆、金属结构件预埋等工程，以及其辅助生产设施的施工。</w:t>
      </w:r>
    </w:p>
    <w:p w:rsidR="005F74A0" w:rsidRPr="005F74A0" w:rsidRDefault="005F74A0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F74A0">
        <w:rPr>
          <w:rFonts w:asciiTheme="minorEastAsia" w:hAnsiTheme="minorEastAsia"/>
          <w:sz w:val="24"/>
          <w:szCs w:val="24"/>
        </w:rPr>
        <w:t>三级企业：可承担单项合同额不超过企业注册资本金5倍的过流断面不大于28平方米的各类有压或明流隧洞工程和与其相应的进出口工程的开挖、临时和永久支护、回填与固结灌浆、金属结构件预埋等工程，以及其辅助生产设施的施</w:t>
      </w:r>
      <w:r w:rsidRPr="005F74A0">
        <w:rPr>
          <w:rFonts w:asciiTheme="minorEastAsia" w:hAnsiTheme="minorEastAsia"/>
          <w:sz w:val="24"/>
          <w:szCs w:val="24"/>
        </w:rPr>
        <w:lastRenderedPageBreak/>
        <w:t>工。</w:t>
      </w:r>
    </w:p>
    <w:p w:rsidR="007027CA" w:rsidRPr="005F74A0" w:rsidRDefault="007027CA" w:rsidP="005F74A0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5F74A0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F74A0"/>
    <w:rsid w:val="005F74A0"/>
    <w:rsid w:val="007027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5F74A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013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211</Words>
  <Characters>1205</Characters>
  <Application>Microsoft Office Word</Application>
  <DocSecurity>0</DocSecurity>
  <Lines>10</Lines>
  <Paragraphs>2</Paragraphs>
  <ScaleCrop>false</ScaleCrop>
  <Company>微软中国</Company>
  <LinksUpToDate>false</LinksUpToDate>
  <CharactersWithSpaces>1414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2013-04-07T01:39:00Z</dcterms:created>
  <dcterms:modified xsi:type="dcterms:W3CDTF">2013-04-07T01:40:00Z</dcterms:modified>
</cp:coreProperties>
</file>