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381" w:rsidRPr="004A7381" w:rsidRDefault="004A7381" w:rsidP="004A7381">
      <w:pPr>
        <w:spacing w:line="360" w:lineRule="auto"/>
        <w:ind w:firstLineChars="200" w:firstLine="720"/>
        <w:jc w:val="center"/>
        <w:rPr>
          <w:rFonts w:ascii="黑体" w:eastAsia="黑体" w:hAnsiTheme="minorEastAsia" w:hint="eastAsia"/>
          <w:sz w:val="36"/>
          <w:szCs w:val="36"/>
        </w:rPr>
      </w:pPr>
      <w:r w:rsidRPr="004A7381">
        <w:rPr>
          <w:rFonts w:ascii="黑体" w:eastAsia="黑体" w:hAnsiTheme="minorEastAsia" w:hint="eastAsia"/>
          <w:sz w:val="36"/>
          <w:szCs w:val="36"/>
        </w:rPr>
        <w:t>送变电工</w:t>
      </w:r>
      <w:proofErr w:type="gramStart"/>
      <w:r w:rsidRPr="004A7381">
        <w:rPr>
          <w:rFonts w:ascii="黑体" w:eastAsia="黑体" w:hAnsiTheme="minorEastAsia" w:hint="eastAsia"/>
          <w:sz w:val="36"/>
          <w:szCs w:val="36"/>
        </w:rPr>
        <w:t>程专业</w:t>
      </w:r>
      <w:proofErr w:type="gramEnd"/>
      <w:r w:rsidRPr="004A7381">
        <w:rPr>
          <w:rFonts w:ascii="黑体" w:eastAsia="黑体" w:hAnsiTheme="minorEastAsia" w:hint="eastAsia"/>
          <w:sz w:val="36"/>
          <w:szCs w:val="36"/>
        </w:rPr>
        <w:t>承包企业资质等级标准</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送变电工</w:t>
      </w:r>
      <w:proofErr w:type="gramStart"/>
      <w:r w:rsidRPr="004A7381">
        <w:rPr>
          <w:rFonts w:asciiTheme="minorEastAsia" w:hAnsiTheme="minorEastAsia"/>
          <w:sz w:val="24"/>
          <w:szCs w:val="24"/>
        </w:rPr>
        <w:t>程专业</w:t>
      </w:r>
      <w:proofErr w:type="gramEnd"/>
      <w:r w:rsidRPr="004A7381">
        <w:rPr>
          <w:rFonts w:asciiTheme="minorEastAsia" w:hAnsiTheme="minorEastAsia"/>
          <w:sz w:val="24"/>
          <w:szCs w:val="24"/>
        </w:rPr>
        <w:t>承包企业资质分为一级、二级、三级。</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一级资质标准：</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1、企业近5年承担过下列3项中的2项以上所列工程的施工，工程质量合格。</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（1）330KV以上送电线路300公里或220KV以上送电线路500公里；</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（2）330KV以上电压等级变电站2座或220KV以上电压等级变电站5座；</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（3）220KV以上电缆线路80公里或跨越塔标高100米以上的跨越工程1个。</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2、企业经理具有l0年以上从事工程管理工作经历或具有高级职称；总工程师具有10年以上从事电力工程施工技术管理工作经历并具有本专业高级职称；总会计师具有高级会计职称。</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企业有职称的工程技术和经济管理人员不少于160人，其中工程技术人员不少于100人；工程技术人员中，具有中级以上职称的人员不少于60人。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企业具有的一级资质项目经理不少于15人。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3、企业注册资本金4000万元以上，企业净资产4800万元以上。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4、企业近3年最高</w:t>
      </w:r>
      <w:proofErr w:type="gramStart"/>
      <w:r w:rsidRPr="004A7381">
        <w:rPr>
          <w:rFonts w:asciiTheme="minorEastAsia" w:hAnsiTheme="minorEastAsia"/>
          <w:sz w:val="24"/>
          <w:szCs w:val="24"/>
        </w:rPr>
        <w:t>年工程</w:t>
      </w:r>
      <w:proofErr w:type="gramEnd"/>
      <w:r w:rsidRPr="004A7381">
        <w:rPr>
          <w:rFonts w:asciiTheme="minorEastAsia" w:hAnsiTheme="minorEastAsia"/>
          <w:sz w:val="24"/>
          <w:szCs w:val="24"/>
        </w:rPr>
        <w:t>结算收入1亿元以上。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5、企业具有与承包工程范围相适应</w:t>
      </w:r>
      <w:proofErr w:type="gramStart"/>
      <w:r w:rsidRPr="004A7381">
        <w:rPr>
          <w:rFonts w:asciiTheme="minorEastAsia" w:hAnsiTheme="minorEastAsia"/>
          <w:sz w:val="24"/>
          <w:szCs w:val="24"/>
        </w:rPr>
        <w:t>约施工</w:t>
      </w:r>
      <w:proofErr w:type="gramEnd"/>
      <w:r w:rsidRPr="004A7381">
        <w:rPr>
          <w:rFonts w:asciiTheme="minorEastAsia" w:hAnsiTheme="minorEastAsia"/>
          <w:sz w:val="24"/>
          <w:szCs w:val="24"/>
        </w:rPr>
        <w:t>机械和质量检测设备。</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二级资质标准：</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1、企业近5年承担过下列3项中的2项以上所列的工程施工，工程质量合格。</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（1）220KV以上送电线路400公里或110KV以上送电线路500公里；</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（2）220KV以上电压等级变电站4座或110KV以上电压等级变电站6座；</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（3）220KV以上电缆线路40公里或110KV以上电缆线路80公里。</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2、企业经理具有8年以上从事工程管理工作经历或具有中级以上职称；技术负责人具有l0年以上从事电力工程施工技术管理工作经历并具有本专业高级职称；财务负责人具有中级以上会计职称。</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企业有职称的工程技术和经济管理人员不少于l20人，其中工程技术人员不少于70人；工程技术人员中，具有中级以上职称的人员不少于40人。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企业具有的二级资质以上项目经理不少于10人。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lastRenderedPageBreak/>
        <w:t>3、企业注册资本金2000万元以上，企业净资产2400万元以上。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4、企业近3年最高</w:t>
      </w:r>
      <w:proofErr w:type="gramStart"/>
      <w:r w:rsidRPr="004A7381">
        <w:rPr>
          <w:rFonts w:asciiTheme="minorEastAsia" w:hAnsiTheme="minorEastAsia"/>
          <w:sz w:val="24"/>
          <w:szCs w:val="24"/>
        </w:rPr>
        <w:t>年工程</w:t>
      </w:r>
      <w:proofErr w:type="gramEnd"/>
      <w:r w:rsidRPr="004A7381">
        <w:rPr>
          <w:rFonts w:asciiTheme="minorEastAsia" w:hAnsiTheme="minorEastAsia"/>
          <w:sz w:val="24"/>
          <w:szCs w:val="24"/>
        </w:rPr>
        <w:t>结算收入6000万元以上。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5、企业具有与承包工程范围相适应的施工机械和质量检测设备。</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三级资质标准：</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1、企业近5年承担过35KV以上送电线路200公里及2座相同电压等级的新建变电站工程的施工，工程质量合格。</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2、企业经理具有5年以上从事工程管理工作经历；技术负责人具有5年以上从事电力工程施工技术管理工作经历并具有本专业中级以上职称；财务负责人具有初级以上会计职称。</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企业有职称的工程技术和经济管理人员不少于50人，其中工程技术人员不少于30人；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工程技术人员中，具有中级以上职称的人员不少于10人；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企业具有的三级资质以上项目经理不少于5人。</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3、企业注册资本金800万元以上，企业净资产1000万元以上。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4、企业近3年最高</w:t>
      </w:r>
      <w:proofErr w:type="gramStart"/>
      <w:r w:rsidRPr="004A7381">
        <w:rPr>
          <w:rFonts w:asciiTheme="minorEastAsia" w:hAnsiTheme="minorEastAsia"/>
          <w:sz w:val="24"/>
          <w:szCs w:val="24"/>
        </w:rPr>
        <w:t>年工程</w:t>
      </w:r>
      <w:proofErr w:type="gramEnd"/>
      <w:r w:rsidRPr="004A7381">
        <w:rPr>
          <w:rFonts w:asciiTheme="minorEastAsia" w:hAnsiTheme="minorEastAsia"/>
          <w:sz w:val="24"/>
          <w:szCs w:val="24"/>
        </w:rPr>
        <w:t>结算收入2000万元以上。</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5、企业具有与承包工程范围相适应的施工机械和质量检测设备。</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承包工程范围：</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一级企业：可承担各种电压等级的送电线路（含电缆工程）和变电站工程的施工。</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二级企业：可承担单项合同额不超过企业注册资本金5倍的220KV及以下送电线路电缆工程）和同电压等级变电站工程的施工。</w:t>
      </w:r>
    </w:p>
    <w:p w:rsidR="004A7381" w:rsidRPr="004A7381" w:rsidRDefault="004A7381" w:rsidP="004A7381">
      <w:pPr>
        <w:spacing w:line="360" w:lineRule="auto"/>
        <w:ind w:firstLineChars="200" w:firstLine="480"/>
        <w:rPr>
          <w:rFonts w:asciiTheme="minorEastAsia" w:hAnsiTheme="minorEastAsia"/>
          <w:sz w:val="24"/>
          <w:szCs w:val="24"/>
        </w:rPr>
      </w:pPr>
      <w:r w:rsidRPr="004A7381">
        <w:rPr>
          <w:rFonts w:asciiTheme="minorEastAsia" w:hAnsiTheme="minorEastAsia"/>
          <w:sz w:val="24"/>
          <w:szCs w:val="24"/>
        </w:rPr>
        <w:t>三级企业：可承担单项合同额不超过企业注册资本金5倍的110KV及以下送电线路电缆工程）和同电压等级变电站工程的施工。</w:t>
      </w:r>
    </w:p>
    <w:p w:rsidR="007027CA" w:rsidRPr="004A7381" w:rsidRDefault="007027CA" w:rsidP="004A7381">
      <w:pPr>
        <w:spacing w:line="360" w:lineRule="auto"/>
        <w:ind w:firstLineChars="200" w:firstLine="480"/>
        <w:rPr>
          <w:rFonts w:asciiTheme="minorEastAsia" w:hAnsiTheme="minorEastAsia"/>
          <w:sz w:val="24"/>
          <w:szCs w:val="24"/>
        </w:rPr>
      </w:pPr>
    </w:p>
    <w:sectPr w:rsidR="007027CA" w:rsidRPr="004A7381"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A7381"/>
    <w:rsid w:val="004A7381"/>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4A738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33220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203</Words>
  <Characters>1163</Characters>
  <Application>Microsoft Office Word</Application>
  <DocSecurity>0</DocSecurity>
  <Lines>9</Lines>
  <Paragraphs>2</Paragraphs>
  <ScaleCrop>false</ScaleCrop>
  <Company>微软中国</Company>
  <LinksUpToDate>false</LinksUpToDate>
  <CharactersWithSpaces>1364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2013-04-07T01:41:00Z</dcterms:created>
  <dcterms:modified xsi:type="dcterms:W3CDTF">2013-04-07T01:42:00Z</dcterms:modified>
</cp:coreProperties>
</file>