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6E6C" w:rsidRPr="00566E6C" w:rsidRDefault="00566E6C" w:rsidP="00566E6C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566E6C">
        <w:rPr>
          <w:rFonts w:ascii="黑体" w:eastAsia="黑体" w:hAnsiTheme="minorEastAsia" w:hint="eastAsia"/>
          <w:sz w:val="36"/>
          <w:szCs w:val="36"/>
        </w:rPr>
        <w:t>通航建筑工程专业承包企业资质等级标准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通航建筑工程专业承包企业资质分为一级、二级、三级。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一级资质标准：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1、企业近5年承担过下列3项中的2项以上工程施工，工程质量合格。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（1）1000吨级以上船闸；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（2）300吨级以上升船机；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（3）单项合同额5000万元以上的通航建筑工程。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2、企业经理具有10年以上从事工程管理工作经历或具有高级职称；总工程师具有l0年以上从事工程施工技术管理工作经历并具有本专业高级职称；总会计师具有高级会计职称。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企业有职称的工程技术和经济管理人员不少于100人，其中工程技术人员不少于60人；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工程技术人员中、具有高级职称的人员不少于10人，具有中级职称的人员不少于20人。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企业具有的一级资质项目经理不少于10人。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3、企业注册资本金4000万元以上，企业净资产5000万元以上。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566E6C">
        <w:rPr>
          <w:rFonts w:asciiTheme="minorEastAsia" w:hAnsiTheme="minorEastAsia"/>
          <w:sz w:val="24"/>
          <w:szCs w:val="24"/>
        </w:rPr>
        <w:t>年工程</w:t>
      </w:r>
      <w:proofErr w:type="gramEnd"/>
      <w:r w:rsidRPr="00566E6C">
        <w:rPr>
          <w:rFonts w:asciiTheme="minorEastAsia" w:hAnsiTheme="minorEastAsia"/>
          <w:sz w:val="24"/>
          <w:szCs w:val="24"/>
        </w:rPr>
        <w:t>结算收入1亿元以上。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二级资质标准：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1、企业近5年承担过下列3项中的2项以上工程施工，工程质量合格。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（1）300吨级以上船闸；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（2）50吨级以上升船机；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（3）单项合同额3000万元以上的通航建筑工程。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2、企业经理具有10年以上从事工程管理工作经历或具有中级以上职称；技术负责人具有10年以上从事工程施工技术管理工作经历并具有本专业高级职称；财务负责人具有中级以上会计职称。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企业有职称的工程技术和经济管理人员不少于70人，其中工程技术人员不少于40人；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工程技术人员中，具有高级职称的人员不少于5人，具有中级职称的人员不</w:t>
      </w:r>
      <w:r w:rsidRPr="00566E6C">
        <w:rPr>
          <w:rFonts w:asciiTheme="minorEastAsia" w:hAnsiTheme="minorEastAsia"/>
          <w:sz w:val="24"/>
          <w:szCs w:val="24"/>
        </w:rPr>
        <w:lastRenderedPageBreak/>
        <w:t>少于15人。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企业具有的二级资质以上项目经理不少于10人。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3、企业注册资本金2000万元以上，企业净资产2500万元以上。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566E6C">
        <w:rPr>
          <w:rFonts w:asciiTheme="minorEastAsia" w:hAnsiTheme="minorEastAsia"/>
          <w:sz w:val="24"/>
          <w:szCs w:val="24"/>
        </w:rPr>
        <w:t>年工程</w:t>
      </w:r>
      <w:proofErr w:type="gramEnd"/>
      <w:r w:rsidRPr="00566E6C">
        <w:rPr>
          <w:rFonts w:asciiTheme="minorEastAsia" w:hAnsiTheme="minorEastAsia"/>
          <w:sz w:val="24"/>
          <w:szCs w:val="24"/>
        </w:rPr>
        <w:t>结算收入5000万元以上。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三级资质标准：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1、企业近5年承担过下列2项中的1项以上工程施工，工程质量合格。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（1）100吨级以上船闸；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（2）单项合同额500万元以上的通航建筑工程。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2、企业经理具有5年以上从事工程管理工作经历或具有初级以上职称；技术负责人具有5年以上从事工程施工技术管理工作经历并具有本专业中级以上职称；财务负责人具有中级以上会计职称。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企业有职称的工程技术和经济管理人员不少于40人，其中工程技术人员不少于20人；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工程技术人员中、具有中级以上职称的人员不少于7人。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企业具有的三级资质以上项目经理不少于5人。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3、企业注册资本金500万元以上，企业净资产600万元以上。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566E6C">
        <w:rPr>
          <w:rFonts w:asciiTheme="minorEastAsia" w:hAnsiTheme="minorEastAsia"/>
          <w:sz w:val="24"/>
          <w:szCs w:val="24"/>
        </w:rPr>
        <w:t>年工程</w:t>
      </w:r>
      <w:proofErr w:type="gramEnd"/>
      <w:r w:rsidRPr="00566E6C">
        <w:rPr>
          <w:rFonts w:asciiTheme="minorEastAsia" w:hAnsiTheme="minorEastAsia"/>
          <w:sz w:val="24"/>
          <w:szCs w:val="24"/>
        </w:rPr>
        <w:t>结算收入l000万元以上。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承包工程范围：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一级企业：可承担各类船闸、升航机等通航建筑工程施工。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二级企业：可承担单项工程额不超过企业注册资本金5倍的1000吨级及以下船闸或300吨级及以下升船机等通航建筑工程施工。</w:t>
      </w:r>
    </w:p>
    <w:p w:rsidR="00566E6C" w:rsidRPr="00566E6C" w:rsidRDefault="00566E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66E6C">
        <w:rPr>
          <w:rFonts w:asciiTheme="minorEastAsia" w:hAnsiTheme="minorEastAsia"/>
          <w:sz w:val="24"/>
          <w:szCs w:val="24"/>
        </w:rPr>
        <w:t>三级企业：可承担单项工程额不超过企业注册资本金5倍的300吨级及以下船闸或50吨级及以下升船机等通航建筑工程施工。</w:t>
      </w:r>
    </w:p>
    <w:p w:rsidR="00FD306C" w:rsidRPr="00566E6C" w:rsidRDefault="00FD306C" w:rsidP="00566E6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566E6C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66E6C"/>
    <w:rsid w:val="00566E6C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566E6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989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190</Words>
  <Characters>1089</Characters>
  <Application>Microsoft Office Word</Application>
  <DocSecurity>0</DocSecurity>
  <Lines>9</Lines>
  <Paragraphs>2</Paragraphs>
  <ScaleCrop>false</ScaleCrop>
  <Company>微软中国</Company>
  <LinksUpToDate>false</LinksUpToDate>
  <CharactersWithSpaces>1277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2013-04-02T08:56:00Z</dcterms:created>
  <dcterms:modified xsi:type="dcterms:W3CDTF">2013-04-02T08:57:00Z</dcterms:modified>
</cp:coreProperties>
</file>