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B2" w:rsidRPr="000A7DB2" w:rsidRDefault="000A7DB2" w:rsidP="000A7DB2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0A7DB2">
        <w:rPr>
          <w:rFonts w:ascii="黑体" w:eastAsia="黑体" w:hAnsiTheme="minorEastAsia" w:hint="eastAsia"/>
          <w:sz w:val="36"/>
          <w:szCs w:val="36"/>
        </w:rPr>
        <w:t>通航设备安装工程专业承包企业资质等级标准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通航设备安装工程专业承包企业资质分为一级、二级。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一级资质标准：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（1）1000吨级以上船闸设备安装工程；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（2）300吨级以上升船机设备安装工程；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（3）单项合同额300万元以上的通航设备安装工程。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2、企业经理具有10年以上从事工程管理工作经历或具有高级职称；总工程师具有l0年以上从事工程施工技术管理工作经历并具有本专业高级职称；总会计师具有高级会计职称。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企业有职称的工程技术和经济管理人员不少于80人，其中工程技术人员不少于50人；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工程技术人员中，具有高级职称的人员不少于10人，具有中级职称的人员不少于15人。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企业具有的一级资质项目经理不少于5人。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3、企业注册资本金1500万元以上，企业净资产2000万元以上。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0A7DB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0A7DB2">
        <w:rPr>
          <w:rFonts w:asciiTheme="minorEastAsia" w:hAnsiTheme="minorEastAsia"/>
          <w:sz w:val="24"/>
          <w:szCs w:val="24"/>
        </w:rPr>
        <w:t>结算收入4000万元以上。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二级资质标准：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（1）300吨级以上船闸设备安装工程；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（2）50吨级以上升船机设备安装工程；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（3）单项合同额在100万元以上的通航设备安装工程。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2、企业经理具有10年以上从事工程管理工作经历或具有中级以上职称；技术负责人具有10年以上从事工程施工技术管理工作经历并具有本专业高级职称；财务负责人具有中级以上会计职称。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企业有职称的工程技术和经济管理人员不少于60人，其中工程技术人员不少于35人；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工程技术人员中，具有中级以上职称的人员不少于15人。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lastRenderedPageBreak/>
        <w:t>企业具有的二级资质以上项目经理不少于5人。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0A7DB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0A7DB2">
        <w:rPr>
          <w:rFonts w:asciiTheme="minorEastAsia" w:hAnsiTheme="minorEastAsia"/>
          <w:sz w:val="24"/>
          <w:szCs w:val="24"/>
        </w:rPr>
        <w:t>结算收入1000万元以上。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承包工程范围：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一级企业：可承担各类船闸、升航机设备安装工程施工。</w:t>
      </w:r>
    </w:p>
    <w:p w:rsidR="000A7DB2" w:rsidRPr="000A7DB2" w:rsidRDefault="000A7DB2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A7DB2">
        <w:rPr>
          <w:rFonts w:asciiTheme="minorEastAsia" w:hAnsiTheme="minorEastAsia"/>
          <w:sz w:val="24"/>
          <w:szCs w:val="24"/>
        </w:rPr>
        <w:t>二级企业：可承担单项合同额不超过企业注册资本金5倍的1000吨级及以下船闸或300吨级及以下升船机设备安装工程施工。</w:t>
      </w:r>
    </w:p>
    <w:p w:rsidR="00FD306C" w:rsidRPr="000A7DB2" w:rsidRDefault="00FD306C" w:rsidP="000A7DB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0A7DB2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7DB2"/>
    <w:rsid w:val="000A7DB2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0A7D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>微软中国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2013-04-02T08:57:00Z</dcterms:created>
  <dcterms:modified xsi:type="dcterms:W3CDTF">2013-04-02T08:58:00Z</dcterms:modified>
</cp:coreProperties>
</file>