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8DC" w:rsidRPr="008358DC" w:rsidRDefault="008358DC" w:rsidP="008358D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8358DC">
        <w:rPr>
          <w:rFonts w:ascii="黑体" w:eastAsia="黑体" w:hAnsiTheme="minorEastAsia" w:hint="eastAsia"/>
          <w:sz w:val="36"/>
          <w:szCs w:val="36"/>
        </w:rPr>
        <w:t>预拌商品混凝土专业企业资质等级标准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预拌商品混凝土专业企业资质分为二级、三级。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二级资质标准：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1、商品混凝土年产量l0万立方米以上，产品质量合格。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2、企业经理具有5年以上从事工程管理工作经历或具有中级以上职称；技术负责人具有3年以上从事商品混凝土生产工作经历并具有相关专业中级以上职称；财务负责人具有中级以上会计职称。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企业有职称的工程技术和经济管理人员不少于15人，其中工程技术人员不少于l0人；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358D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358DC">
        <w:rPr>
          <w:rFonts w:asciiTheme="minorEastAsia" w:hAnsiTheme="minorEastAsia"/>
          <w:sz w:val="24"/>
          <w:szCs w:val="24"/>
        </w:rPr>
        <w:t>结算收入3000万元以上。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5、配有2台55立方米／小时以上的搅拌系统，混凝土运输车不少于10辆，</w:t>
      </w:r>
      <w:proofErr w:type="gramStart"/>
      <w:r w:rsidRPr="008358DC">
        <w:rPr>
          <w:rFonts w:asciiTheme="minorEastAsia" w:hAnsiTheme="minorEastAsia"/>
          <w:sz w:val="24"/>
          <w:szCs w:val="24"/>
        </w:rPr>
        <w:t>辅送泵不</w:t>
      </w:r>
      <w:proofErr w:type="gramEnd"/>
      <w:r w:rsidRPr="008358DC">
        <w:rPr>
          <w:rFonts w:asciiTheme="minorEastAsia" w:hAnsiTheme="minorEastAsia"/>
          <w:sz w:val="24"/>
          <w:szCs w:val="24"/>
        </w:rPr>
        <w:t>少于2台。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6、企业设有混凝土专项试验室。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三级资质标准：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1、商品混凝土年产量5万立方米以上，产品质量合格。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2、企业经理具有3年以上从事工程管理工作经历；技术负责人具有2年以上从事商品混凝土生产工作经历并具有相关专业中级以上职称：财务负责人具有初级以上会计职称。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企业有职称的工程技术和经济管理人员不少于8人，其中工程技术人员不少于；人；工程技术人员中，具有中级以上职称的人员不少于2人。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3、企业注册资本金1000万元以上，企业净资产l 200万元以上。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358D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358DC">
        <w:rPr>
          <w:rFonts w:asciiTheme="minorEastAsia" w:hAnsiTheme="minorEastAsia"/>
          <w:sz w:val="24"/>
          <w:szCs w:val="24"/>
        </w:rPr>
        <w:t>结算收入1500万元以上。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5、配有1台30立方米／小时以上的搅拌系统，混凝土运输车不少于5辆，</w:t>
      </w:r>
      <w:proofErr w:type="gramStart"/>
      <w:r w:rsidRPr="008358DC">
        <w:rPr>
          <w:rFonts w:asciiTheme="minorEastAsia" w:hAnsiTheme="minorEastAsia"/>
          <w:sz w:val="24"/>
          <w:szCs w:val="24"/>
        </w:rPr>
        <w:t>辅送泵不</w:t>
      </w:r>
      <w:proofErr w:type="gramEnd"/>
      <w:r w:rsidRPr="008358DC">
        <w:rPr>
          <w:rFonts w:asciiTheme="minorEastAsia" w:hAnsiTheme="minorEastAsia"/>
          <w:sz w:val="24"/>
          <w:szCs w:val="24"/>
        </w:rPr>
        <w:t>少于1台。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6、企业设有混凝土专项试验室。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承包工程范围：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二级企业：可生产各种强度等级的混凝土和特种混凝土。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lastRenderedPageBreak/>
        <w:t>三级企业：可生产强度等级C60及以下的混凝土。</w:t>
      </w:r>
    </w:p>
    <w:p w:rsidR="008358DC" w:rsidRPr="008358DC" w:rsidRDefault="008358D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358DC">
        <w:rPr>
          <w:rFonts w:asciiTheme="minorEastAsia" w:hAnsiTheme="minorEastAsia"/>
          <w:sz w:val="24"/>
          <w:szCs w:val="24"/>
        </w:rPr>
        <w:t>注：二级、三级企业均可兼营市政工程方砖、道牙、隔离墩、地面砖、花饰、植草砖等小型预制构件。</w:t>
      </w:r>
    </w:p>
    <w:p w:rsidR="00FD306C" w:rsidRPr="008358DC" w:rsidRDefault="00FD306C" w:rsidP="008358D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8358D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358DC"/>
    <w:rsid w:val="008358D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8358D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7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637</Characters>
  <Application>Microsoft Office Word</Application>
  <DocSecurity>0</DocSecurity>
  <Lines>5</Lines>
  <Paragraphs>1</Paragraphs>
  <ScaleCrop>false</ScaleCrop>
  <Company>微软中国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2013-04-02T07:48:00Z</dcterms:created>
  <dcterms:modified xsi:type="dcterms:W3CDTF">2013-04-02T07:49:00Z</dcterms:modified>
</cp:coreProperties>
</file>